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8289B" w14:textId="5BA9955B" w:rsidR="00F036F5" w:rsidRDefault="00000000">
      <w:pPr>
        <w:pStyle w:val="SmallTitle"/>
      </w:pPr>
      <w:r>
        <w:t xml:space="preserve">Informacja o wykonaniu budżetu Gminy </w:t>
      </w:r>
      <w:r w:rsidR="000E3D4C">
        <w:t>M</w:t>
      </w:r>
      <w:r>
        <w:t>iejskiej Chojnice</w:t>
      </w:r>
      <w:r>
        <w:br/>
        <w:t>za I kwartał 2024 roku</w:t>
      </w:r>
    </w:p>
    <w:p w14:paraId="122A83A6" w14:textId="77777777" w:rsidR="00F036F5" w:rsidRDefault="00000000">
      <w:pPr>
        <w:jc w:val="both"/>
      </w:pPr>
      <w:r>
        <w:t>Zgodnie z art. 37 ust. 1 ustawy z dnia 27 sierpnia 2009 r. – o finansach publicznych (Dz. U. 2023 r. poz. 1270 z późn. zm.) Burmistrz Gminy miejskiej Chojnice podaje do publicznej wiadomości kwartalną informację o wykonaniu budżetu Gminy miejskiej Chojnice, w tym kwotę deficytu, oraz o udzielonych umorzeniach niepodatkowych należności budżetowych.</w:t>
      </w:r>
    </w:p>
    <w:p w14:paraId="040939C5" w14:textId="77777777" w:rsidR="00F036F5" w:rsidRDefault="00000000">
      <w:pPr>
        <w:jc w:val="both"/>
      </w:pPr>
      <w:r>
        <w:t>Budżet Gminy miejskiej w 2024 roku, który został przyjęty uchwałą Rady Miejskiej Chojnice nr LXI/748/23 z dnia 18.12.2023 roku, zakładał:</w:t>
      </w:r>
    </w:p>
    <w:p w14:paraId="70F9F276" w14:textId="77777777" w:rsidR="00F036F5" w:rsidRDefault="00000000">
      <w:pPr>
        <w:pStyle w:val="Akapitzlist"/>
        <w:numPr>
          <w:ilvl w:val="0"/>
          <w:numId w:val="23"/>
        </w:numPr>
        <w:jc w:val="both"/>
      </w:pPr>
      <w:r>
        <w:t>uzyskanie dochodów w kwocie 241 246 684,00 zł;</w:t>
      </w:r>
    </w:p>
    <w:p w14:paraId="3FD7860A" w14:textId="77777777" w:rsidR="00F036F5" w:rsidRDefault="00000000">
      <w:pPr>
        <w:pStyle w:val="Akapitzlist"/>
        <w:numPr>
          <w:ilvl w:val="0"/>
          <w:numId w:val="23"/>
        </w:numPr>
        <w:jc w:val="both"/>
      </w:pPr>
      <w:r>
        <w:t>realizację wydatków na poziomie 259 933 914,00 zł;</w:t>
      </w:r>
    </w:p>
    <w:p w14:paraId="4A3DFA22" w14:textId="77777777" w:rsidR="00F036F5" w:rsidRDefault="00000000">
      <w:pPr>
        <w:pStyle w:val="Akapitzlist"/>
        <w:numPr>
          <w:ilvl w:val="0"/>
          <w:numId w:val="23"/>
        </w:numPr>
        <w:jc w:val="both"/>
      </w:pPr>
      <w:r>
        <w:t>pozyskanie przychodów w kwocie 27 432 230,00 zł;</w:t>
      </w:r>
    </w:p>
    <w:p w14:paraId="46B1D5A6" w14:textId="77777777" w:rsidR="00F036F5" w:rsidRDefault="00000000">
      <w:pPr>
        <w:pStyle w:val="Akapitzlist"/>
        <w:numPr>
          <w:ilvl w:val="0"/>
          <w:numId w:val="23"/>
        </w:numPr>
        <w:jc w:val="both"/>
      </w:pPr>
      <w:r>
        <w:t>realizację rozchodów na poziomie 8 745 000,00 zł.</w:t>
      </w:r>
    </w:p>
    <w:p w14:paraId="2F5E1F57" w14:textId="77777777" w:rsidR="00F036F5" w:rsidRDefault="00000000">
      <w:pPr>
        <w:jc w:val="both"/>
      </w:pPr>
      <w:r>
        <w:t>Różnica między planem dochodów a planem wydatków wynosiła 18 687 230,00 zł i stanowiła planowany deficyt budżetu Gminy miejskiej Chojnice na 2024 rok. Planowana na 2024 rok wartość przychodów stanowiła źródło pokrycia powstałego deficytu, a w pozostałej części została przeznaczona na rozchody.</w:t>
      </w:r>
    </w:p>
    <w:p w14:paraId="48E524DF" w14:textId="77777777" w:rsidR="00F036F5" w:rsidRDefault="00000000">
      <w:pPr>
        <w:jc w:val="both"/>
      </w:pPr>
      <w:r>
        <w:t>W wyniku wprowadzonych zmian w pierwszym kwartale 2024 roku:</w:t>
      </w:r>
    </w:p>
    <w:p w14:paraId="19C457CE" w14:textId="77777777" w:rsidR="00F036F5" w:rsidRDefault="00000000">
      <w:pPr>
        <w:pStyle w:val="Akapitzlist"/>
        <w:numPr>
          <w:ilvl w:val="0"/>
          <w:numId w:val="24"/>
        </w:numPr>
        <w:jc w:val="both"/>
      </w:pPr>
      <w:r>
        <w:t>plan dochodów wzrósł o 15 980 795,02 zł do kwoty 257 227 479,02 zł;</w:t>
      </w:r>
    </w:p>
    <w:p w14:paraId="1C6936AE" w14:textId="77777777" w:rsidR="00F036F5" w:rsidRDefault="00000000">
      <w:pPr>
        <w:pStyle w:val="Akapitzlist"/>
        <w:numPr>
          <w:ilvl w:val="0"/>
          <w:numId w:val="24"/>
        </w:numPr>
        <w:jc w:val="both"/>
      </w:pPr>
      <w:r>
        <w:t>plan wydatków wzrósł o 23 877 081,02 zł do kwoty 283 810 995,02 zł;</w:t>
      </w:r>
    </w:p>
    <w:p w14:paraId="0B637792" w14:textId="77777777" w:rsidR="00F036F5" w:rsidRDefault="00000000">
      <w:pPr>
        <w:pStyle w:val="Akapitzlist"/>
        <w:numPr>
          <w:ilvl w:val="0"/>
          <w:numId w:val="24"/>
        </w:numPr>
        <w:jc w:val="both"/>
      </w:pPr>
      <w:r>
        <w:t>plan przychodów wzrósł o 7 896 286,00 zł do kwoty 35 328 516,00 zł;</w:t>
      </w:r>
    </w:p>
    <w:p w14:paraId="01EEE506" w14:textId="77777777" w:rsidR="00F036F5" w:rsidRDefault="00000000">
      <w:pPr>
        <w:pStyle w:val="Akapitzlist"/>
        <w:numPr>
          <w:ilvl w:val="0"/>
          <w:numId w:val="24"/>
        </w:numPr>
        <w:jc w:val="both"/>
      </w:pPr>
      <w:r>
        <w:t>plan rozchodów nie uległ zmianie.</w:t>
      </w:r>
    </w:p>
    <w:p w14:paraId="44D4C782" w14:textId="549191EC" w:rsidR="00F036F5" w:rsidRDefault="00000000">
      <w:pPr>
        <w:jc w:val="both"/>
      </w:pPr>
      <w:r>
        <w:t xml:space="preserve">Na dzień 31 marca 2024 roku budżet Gminy </w:t>
      </w:r>
      <w:r w:rsidR="00FD7CD1">
        <w:t>M</w:t>
      </w:r>
      <w:r>
        <w:t>iejskiej Chojnice zamknął się planowanym deficytem budżetowym w kwocie 26 583 516,00 zł stanowiącym różnicę między planem dochodów a planem wydatków.</w:t>
      </w:r>
    </w:p>
    <w:p w14:paraId="31F6A623" w14:textId="77777777" w:rsidR="00F036F5" w:rsidRDefault="00000000">
      <w:pPr>
        <w:jc w:val="both"/>
      </w:pPr>
      <w:r>
        <w:t>W ujęciu tabelarycznym wykonanie budżetu za I kwartał 2024 r. przedstawia poniższa tabela.</w:t>
      </w:r>
    </w:p>
    <w:tbl>
      <w:tblPr>
        <w:tblStyle w:val="TabelaCurulisEco"/>
        <w:tblW w:w="5000" w:type="pct"/>
        <w:tblLook w:val="04A0" w:firstRow="1" w:lastRow="0" w:firstColumn="1" w:lastColumn="0" w:noHBand="0" w:noVBand="1"/>
      </w:tblPr>
      <w:tblGrid>
        <w:gridCol w:w="391"/>
        <w:gridCol w:w="5387"/>
        <w:gridCol w:w="1108"/>
        <w:gridCol w:w="1108"/>
        <w:gridCol w:w="1033"/>
        <w:gridCol w:w="837"/>
      </w:tblGrid>
      <w:tr w:rsidR="00F036F5" w14:paraId="2BA08034" w14:textId="77777777" w:rsidTr="00F036F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00" w:type="pct"/>
            <w:tcMar>
              <w:top w:w="11" w:type="dxa"/>
              <w:left w:w="85" w:type="dxa"/>
              <w:bottom w:w="6" w:type="dxa"/>
              <w:right w:w="85" w:type="dxa"/>
            </w:tcMar>
          </w:tcPr>
          <w:p w14:paraId="5E506A60" w14:textId="77777777" w:rsidR="00F036F5" w:rsidRDefault="00000000">
            <w:pPr>
              <w:rPr>
                <w:sz w:val="15"/>
                <w:szCs w:val="15"/>
              </w:rPr>
            </w:pPr>
            <w:r>
              <w:rPr>
                <w:sz w:val="15"/>
                <w:szCs w:val="15"/>
              </w:rPr>
              <w:t>Lp.</w:t>
            </w:r>
          </w:p>
        </w:tc>
        <w:tc>
          <w:tcPr>
            <w:tcW w:w="7500" w:type="pct"/>
            <w:tcMar>
              <w:top w:w="11" w:type="dxa"/>
              <w:left w:w="85" w:type="dxa"/>
              <w:bottom w:w="6" w:type="dxa"/>
              <w:right w:w="85" w:type="dxa"/>
            </w:tcMar>
          </w:tcPr>
          <w:p w14:paraId="4E0DC0A9"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Wyszczególnienie</w:t>
            </w:r>
          </w:p>
        </w:tc>
        <w:tc>
          <w:tcPr>
            <w:tcW w:w="5400" w:type="pct"/>
            <w:tcMar>
              <w:top w:w="11" w:type="dxa"/>
              <w:left w:w="85" w:type="dxa"/>
              <w:bottom w:w="6" w:type="dxa"/>
              <w:right w:w="85" w:type="dxa"/>
            </w:tcMar>
          </w:tcPr>
          <w:p w14:paraId="00A500CB"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Plan na 1.01.2024 r. (w zł)</w:t>
            </w:r>
          </w:p>
        </w:tc>
        <w:tc>
          <w:tcPr>
            <w:tcW w:w="5400" w:type="pct"/>
            <w:tcMar>
              <w:top w:w="11" w:type="dxa"/>
              <w:left w:w="85" w:type="dxa"/>
              <w:bottom w:w="6" w:type="dxa"/>
              <w:right w:w="85" w:type="dxa"/>
            </w:tcMar>
          </w:tcPr>
          <w:p w14:paraId="551C26B7"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Plan na 31.03.2024 r. (w zł)</w:t>
            </w:r>
          </w:p>
        </w:tc>
        <w:tc>
          <w:tcPr>
            <w:tcW w:w="5400" w:type="pct"/>
            <w:tcMar>
              <w:top w:w="11" w:type="dxa"/>
              <w:left w:w="85" w:type="dxa"/>
              <w:bottom w:w="6" w:type="dxa"/>
              <w:right w:w="85" w:type="dxa"/>
            </w:tcMar>
          </w:tcPr>
          <w:p w14:paraId="34061273"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Wykonanie (w zł)</w:t>
            </w:r>
          </w:p>
        </w:tc>
        <w:tc>
          <w:tcPr>
            <w:tcW w:w="4500" w:type="pct"/>
            <w:tcMar>
              <w:top w:w="11" w:type="dxa"/>
              <w:left w:w="85" w:type="dxa"/>
              <w:bottom w:w="6" w:type="dxa"/>
              <w:right w:w="85" w:type="dxa"/>
            </w:tcMar>
          </w:tcPr>
          <w:p w14:paraId="67FE8E28"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Realizacja planu po zmianach (w %)</w:t>
            </w:r>
          </w:p>
        </w:tc>
      </w:tr>
      <w:tr w:rsidR="00F036F5" w14:paraId="1F3B4FE6"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47632567" w14:textId="77777777" w:rsidR="00F036F5" w:rsidRDefault="00000000">
            <w:pPr>
              <w:jc w:val="center"/>
              <w:rPr>
                <w:b/>
                <w:bCs/>
                <w:sz w:val="15"/>
                <w:szCs w:val="15"/>
              </w:rPr>
            </w:pPr>
            <w:r>
              <w:rPr>
                <w:b/>
                <w:bCs/>
                <w:sz w:val="15"/>
                <w:szCs w:val="15"/>
              </w:rPr>
              <w:t>I.</w:t>
            </w:r>
          </w:p>
        </w:tc>
        <w:tc>
          <w:tcPr>
            <w:tcW w:w="833" w:type="pct"/>
            <w:tcMar>
              <w:top w:w="11" w:type="dxa"/>
              <w:left w:w="85" w:type="dxa"/>
              <w:bottom w:w="6" w:type="dxa"/>
              <w:right w:w="85" w:type="dxa"/>
            </w:tcMar>
          </w:tcPr>
          <w:p w14:paraId="419ECA71"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Dochody ogółem, w tym:</w:t>
            </w:r>
          </w:p>
        </w:tc>
        <w:tc>
          <w:tcPr>
            <w:tcW w:w="833" w:type="pct"/>
            <w:tcMar>
              <w:top w:w="11" w:type="dxa"/>
              <w:left w:w="85" w:type="dxa"/>
              <w:bottom w:w="6" w:type="dxa"/>
              <w:right w:w="85" w:type="dxa"/>
            </w:tcMar>
          </w:tcPr>
          <w:p w14:paraId="03C92BB8"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241 246 684,00</w:t>
            </w:r>
          </w:p>
        </w:tc>
        <w:tc>
          <w:tcPr>
            <w:tcW w:w="833" w:type="pct"/>
            <w:tcMar>
              <w:top w:w="11" w:type="dxa"/>
              <w:left w:w="85" w:type="dxa"/>
              <w:bottom w:w="6" w:type="dxa"/>
              <w:right w:w="85" w:type="dxa"/>
            </w:tcMar>
          </w:tcPr>
          <w:p w14:paraId="579EDD14"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257 227 479,02</w:t>
            </w:r>
          </w:p>
        </w:tc>
        <w:tc>
          <w:tcPr>
            <w:tcW w:w="833" w:type="pct"/>
            <w:tcMar>
              <w:top w:w="11" w:type="dxa"/>
              <w:left w:w="85" w:type="dxa"/>
              <w:bottom w:w="6" w:type="dxa"/>
              <w:right w:w="85" w:type="dxa"/>
            </w:tcMar>
          </w:tcPr>
          <w:p w14:paraId="04941AB1"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74 751 635,02</w:t>
            </w:r>
          </w:p>
        </w:tc>
        <w:tc>
          <w:tcPr>
            <w:tcW w:w="835" w:type="pct"/>
            <w:tcMar>
              <w:top w:w="11" w:type="dxa"/>
              <w:left w:w="85" w:type="dxa"/>
              <w:bottom w:w="6" w:type="dxa"/>
              <w:right w:w="85" w:type="dxa"/>
            </w:tcMar>
          </w:tcPr>
          <w:p w14:paraId="40D0A449"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29,06%</w:t>
            </w:r>
          </w:p>
        </w:tc>
      </w:tr>
      <w:tr w:rsidR="00F036F5" w14:paraId="6BA8C493"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4174FA0E" w14:textId="77777777" w:rsidR="00F036F5" w:rsidRDefault="00000000">
            <w:pPr>
              <w:jc w:val="center"/>
              <w:rPr>
                <w:sz w:val="15"/>
                <w:szCs w:val="15"/>
              </w:rPr>
            </w:pPr>
            <w:r>
              <w:rPr>
                <w:sz w:val="15"/>
                <w:szCs w:val="15"/>
              </w:rPr>
              <w:t>1.</w:t>
            </w:r>
          </w:p>
        </w:tc>
        <w:tc>
          <w:tcPr>
            <w:tcW w:w="833" w:type="pct"/>
            <w:tcMar>
              <w:top w:w="11" w:type="dxa"/>
              <w:left w:w="85" w:type="dxa"/>
              <w:bottom w:w="6" w:type="dxa"/>
              <w:right w:w="85" w:type="dxa"/>
            </w:tcMar>
          </w:tcPr>
          <w:p w14:paraId="3FA9BA36"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Dochody bieżące, w tym:</w:t>
            </w:r>
          </w:p>
        </w:tc>
        <w:tc>
          <w:tcPr>
            <w:tcW w:w="833" w:type="pct"/>
            <w:tcMar>
              <w:top w:w="11" w:type="dxa"/>
              <w:left w:w="85" w:type="dxa"/>
              <w:bottom w:w="6" w:type="dxa"/>
              <w:right w:w="85" w:type="dxa"/>
            </w:tcMar>
          </w:tcPr>
          <w:p w14:paraId="6D597C4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208 901 353,00</w:t>
            </w:r>
          </w:p>
        </w:tc>
        <w:tc>
          <w:tcPr>
            <w:tcW w:w="833" w:type="pct"/>
            <w:tcMar>
              <w:top w:w="11" w:type="dxa"/>
              <w:left w:w="85" w:type="dxa"/>
              <w:bottom w:w="6" w:type="dxa"/>
              <w:right w:w="85" w:type="dxa"/>
            </w:tcMar>
          </w:tcPr>
          <w:p w14:paraId="1D00FD9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226 890 175,02</w:t>
            </w:r>
          </w:p>
        </w:tc>
        <w:tc>
          <w:tcPr>
            <w:tcW w:w="833" w:type="pct"/>
            <w:tcMar>
              <w:top w:w="11" w:type="dxa"/>
              <w:left w:w="85" w:type="dxa"/>
              <w:bottom w:w="6" w:type="dxa"/>
              <w:right w:w="85" w:type="dxa"/>
            </w:tcMar>
          </w:tcPr>
          <w:p w14:paraId="4A0D6F6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69 972 096,51</w:t>
            </w:r>
          </w:p>
        </w:tc>
        <w:tc>
          <w:tcPr>
            <w:tcW w:w="835" w:type="pct"/>
            <w:tcMar>
              <w:top w:w="11" w:type="dxa"/>
              <w:left w:w="85" w:type="dxa"/>
              <w:bottom w:w="6" w:type="dxa"/>
              <w:right w:w="85" w:type="dxa"/>
            </w:tcMar>
          </w:tcPr>
          <w:p w14:paraId="0076E12A"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30,84%</w:t>
            </w:r>
          </w:p>
        </w:tc>
      </w:tr>
      <w:tr w:rsidR="00F036F5" w14:paraId="4989D59E"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448A1DB6" w14:textId="77777777" w:rsidR="00F036F5" w:rsidRDefault="00F036F5">
            <w:pPr>
              <w:rPr>
                <w:i/>
                <w:iCs/>
                <w:sz w:val="15"/>
                <w:szCs w:val="15"/>
              </w:rPr>
            </w:pPr>
          </w:p>
        </w:tc>
        <w:tc>
          <w:tcPr>
            <w:tcW w:w="833" w:type="pct"/>
            <w:tcMar>
              <w:top w:w="11" w:type="dxa"/>
              <w:left w:w="85" w:type="dxa"/>
              <w:bottom w:w="6" w:type="dxa"/>
              <w:right w:w="85" w:type="dxa"/>
            </w:tcMar>
          </w:tcPr>
          <w:p w14:paraId="01A29A20"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Dotacje i dochody celowe</w:t>
            </w:r>
          </w:p>
        </w:tc>
        <w:tc>
          <w:tcPr>
            <w:tcW w:w="833" w:type="pct"/>
            <w:tcMar>
              <w:top w:w="11" w:type="dxa"/>
              <w:left w:w="85" w:type="dxa"/>
              <w:bottom w:w="6" w:type="dxa"/>
              <w:right w:w="85" w:type="dxa"/>
            </w:tcMar>
          </w:tcPr>
          <w:p w14:paraId="55FF6A48"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36 296 143,00</w:t>
            </w:r>
          </w:p>
        </w:tc>
        <w:tc>
          <w:tcPr>
            <w:tcW w:w="833" w:type="pct"/>
            <w:tcMar>
              <w:top w:w="11" w:type="dxa"/>
              <w:left w:w="85" w:type="dxa"/>
              <w:bottom w:w="6" w:type="dxa"/>
              <w:right w:w="85" w:type="dxa"/>
            </w:tcMar>
          </w:tcPr>
          <w:p w14:paraId="429D2FE3"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42 037 242,02</w:t>
            </w:r>
          </w:p>
        </w:tc>
        <w:tc>
          <w:tcPr>
            <w:tcW w:w="833" w:type="pct"/>
            <w:tcMar>
              <w:top w:w="11" w:type="dxa"/>
              <w:left w:w="85" w:type="dxa"/>
              <w:bottom w:w="6" w:type="dxa"/>
              <w:right w:w="85" w:type="dxa"/>
            </w:tcMar>
          </w:tcPr>
          <w:p w14:paraId="2342F3B4"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14 118 065,58</w:t>
            </w:r>
          </w:p>
        </w:tc>
        <w:tc>
          <w:tcPr>
            <w:tcW w:w="835" w:type="pct"/>
            <w:tcMar>
              <w:top w:w="11" w:type="dxa"/>
              <w:left w:w="85" w:type="dxa"/>
              <w:bottom w:w="6" w:type="dxa"/>
              <w:right w:w="85" w:type="dxa"/>
            </w:tcMar>
          </w:tcPr>
          <w:p w14:paraId="5A8C0AD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33,58%</w:t>
            </w:r>
          </w:p>
        </w:tc>
      </w:tr>
      <w:tr w:rsidR="00F036F5" w14:paraId="5768070C"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47D4E89D" w14:textId="77777777" w:rsidR="00F036F5" w:rsidRDefault="00F036F5">
            <w:pPr>
              <w:rPr>
                <w:i/>
                <w:iCs/>
                <w:sz w:val="15"/>
                <w:szCs w:val="15"/>
              </w:rPr>
            </w:pPr>
          </w:p>
        </w:tc>
        <w:tc>
          <w:tcPr>
            <w:tcW w:w="833" w:type="pct"/>
            <w:tcMar>
              <w:top w:w="11" w:type="dxa"/>
              <w:left w:w="85" w:type="dxa"/>
              <w:bottom w:w="6" w:type="dxa"/>
              <w:right w:w="85" w:type="dxa"/>
            </w:tcMar>
          </w:tcPr>
          <w:p w14:paraId="4DEC9D2F"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Subwencja ogólna</w:t>
            </w:r>
          </w:p>
        </w:tc>
        <w:tc>
          <w:tcPr>
            <w:tcW w:w="833" w:type="pct"/>
            <w:tcMar>
              <w:top w:w="11" w:type="dxa"/>
              <w:left w:w="85" w:type="dxa"/>
              <w:bottom w:w="6" w:type="dxa"/>
              <w:right w:w="85" w:type="dxa"/>
            </w:tcMar>
          </w:tcPr>
          <w:p w14:paraId="0956FF3A"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58 963 650,00</w:t>
            </w:r>
          </w:p>
        </w:tc>
        <w:tc>
          <w:tcPr>
            <w:tcW w:w="833" w:type="pct"/>
            <w:tcMar>
              <w:top w:w="11" w:type="dxa"/>
              <w:left w:w="85" w:type="dxa"/>
              <w:bottom w:w="6" w:type="dxa"/>
              <w:right w:w="85" w:type="dxa"/>
            </w:tcMar>
          </w:tcPr>
          <w:p w14:paraId="6989FDC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71 057 034,00</w:t>
            </w:r>
          </w:p>
        </w:tc>
        <w:tc>
          <w:tcPr>
            <w:tcW w:w="833" w:type="pct"/>
            <w:tcMar>
              <w:top w:w="11" w:type="dxa"/>
              <w:left w:w="85" w:type="dxa"/>
              <w:bottom w:w="6" w:type="dxa"/>
              <w:right w:w="85" w:type="dxa"/>
            </w:tcMar>
          </w:tcPr>
          <w:p w14:paraId="6DDAA857"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25 070 070,00</w:t>
            </w:r>
          </w:p>
        </w:tc>
        <w:tc>
          <w:tcPr>
            <w:tcW w:w="835" w:type="pct"/>
            <w:tcMar>
              <w:top w:w="11" w:type="dxa"/>
              <w:left w:w="85" w:type="dxa"/>
              <w:bottom w:w="6" w:type="dxa"/>
              <w:right w:w="85" w:type="dxa"/>
            </w:tcMar>
          </w:tcPr>
          <w:p w14:paraId="78791002"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35,28%</w:t>
            </w:r>
          </w:p>
        </w:tc>
      </w:tr>
      <w:tr w:rsidR="00F036F5" w14:paraId="189B818A"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4CE34DF8" w14:textId="77777777" w:rsidR="00F036F5" w:rsidRDefault="00F036F5">
            <w:pPr>
              <w:rPr>
                <w:i/>
                <w:iCs/>
                <w:sz w:val="15"/>
                <w:szCs w:val="15"/>
              </w:rPr>
            </w:pPr>
          </w:p>
        </w:tc>
        <w:tc>
          <w:tcPr>
            <w:tcW w:w="833" w:type="pct"/>
            <w:tcMar>
              <w:top w:w="11" w:type="dxa"/>
              <w:left w:w="85" w:type="dxa"/>
              <w:bottom w:w="6" w:type="dxa"/>
              <w:right w:w="85" w:type="dxa"/>
            </w:tcMar>
          </w:tcPr>
          <w:p w14:paraId="4733118A"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Udziały w PIT i CIT</w:t>
            </w:r>
          </w:p>
        </w:tc>
        <w:tc>
          <w:tcPr>
            <w:tcW w:w="833" w:type="pct"/>
            <w:tcMar>
              <w:top w:w="11" w:type="dxa"/>
              <w:left w:w="85" w:type="dxa"/>
              <w:bottom w:w="6" w:type="dxa"/>
              <w:right w:w="85" w:type="dxa"/>
            </w:tcMar>
          </w:tcPr>
          <w:p w14:paraId="0D34AAEF"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49 709 322,00</w:t>
            </w:r>
          </w:p>
        </w:tc>
        <w:tc>
          <w:tcPr>
            <w:tcW w:w="833" w:type="pct"/>
            <w:tcMar>
              <w:top w:w="11" w:type="dxa"/>
              <w:left w:w="85" w:type="dxa"/>
              <w:bottom w:w="6" w:type="dxa"/>
              <w:right w:w="85" w:type="dxa"/>
            </w:tcMar>
          </w:tcPr>
          <w:p w14:paraId="388E5776"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49 709 322,00</w:t>
            </w:r>
          </w:p>
        </w:tc>
        <w:tc>
          <w:tcPr>
            <w:tcW w:w="833" w:type="pct"/>
            <w:tcMar>
              <w:top w:w="11" w:type="dxa"/>
              <w:left w:w="85" w:type="dxa"/>
              <w:bottom w:w="6" w:type="dxa"/>
              <w:right w:w="85" w:type="dxa"/>
            </w:tcMar>
          </w:tcPr>
          <w:p w14:paraId="47BE0C07"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12 427 329,00</w:t>
            </w:r>
          </w:p>
        </w:tc>
        <w:tc>
          <w:tcPr>
            <w:tcW w:w="835" w:type="pct"/>
            <w:tcMar>
              <w:top w:w="11" w:type="dxa"/>
              <w:left w:w="85" w:type="dxa"/>
              <w:bottom w:w="6" w:type="dxa"/>
              <w:right w:w="85" w:type="dxa"/>
            </w:tcMar>
          </w:tcPr>
          <w:p w14:paraId="60E0514B"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25,00%</w:t>
            </w:r>
          </w:p>
        </w:tc>
      </w:tr>
      <w:tr w:rsidR="00F036F5" w14:paraId="755FD5D2"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20C55610" w14:textId="77777777" w:rsidR="00F036F5" w:rsidRDefault="00F036F5">
            <w:pPr>
              <w:rPr>
                <w:i/>
                <w:iCs/>
                <w:sz w:val="15"/>
                <w:szCs w:val="15"/>
              </w:rPr>
            </w:pPr>
          </w:p>
        </w:tc>
        <w:tc>
          <w:tcPr>
            <w:tcW w:w="833" w:type="pct"/>
            <w:tcMar>
              <w:top w:w="11" w:type="dxa"/>
              <w:left w:w="85" w:type="dxa"/>
              <w:bottom w:w="6" w:type="dxa"/>
              <w:right w:w="85" w:type="dxa"/>
            </w:tcMar>
          </w:tcPr>
          <w:p w14:paraId="4D836FDD"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Wpływy z podatków i opłat</w:t>
            </w:r>
          </w:p>
        </w:tc>
        <w:tc>
          <w:tcPr>
            <w:tcW w:w="833" w:type="pct"/>
            <w:tcMar>
              <w:top w:w="11" w:type="dxa"/>
              <w:left w:w="85" w:type="dxa"/>
              <w:bottom w:w="6" w:type="dxa"/>
              <w:right w:w="85" w:type="dxa"/>
            </w:tcMar>
          </w:tcPr>
          <w:p w14:paraId="46675923"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51 957 766,00</w:t>
            </w:r>
          </w:p>
        </w:tc>
        <w:tc>
          <w:tcPr>
            <w:tcW w:w="833" w:type="pct"/>
            <w:tcMar>
              <w:top w:w="11" w:type="dxa"/>
              <w:left w:w="85" w:type="dxa"/>
              <w:bottom w:w="6" w:type="dxa"/>
              <w:right w:w="85" w:type="dxa"/>
            </w:tcMar>
          </w:tcPr>
          <w:p w14:paraId="05D3641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51 957 766,00</w:t>
            </w:r>
          </w:p>
        </w:tc>
        <w:tc>
          <w:tcPr>
            <w:tcW w:w="833" w:type="pct"/>
            <w:tcMar>
              <w:top w:w="11" w:type="dxa"/>
              <w:left w:w="85" w:type="dxa"/>
              <w:bottom w:w="6" w:type="dxa"/>
              <w:right w:w="85" w:type="dxa"/>
            </w:tcMar>
          </w:tcPr>
          <w:p w14:paraId="19B4828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15 685 166,97</w:t>
            </w:r>
          </w:p>
        </w:tc>
        <w:tc>
          <w:tcPr>
            <w:tcW w:w="835" w:type="pct"/>
            <w:tcMar>
              <w:top w:w="11" w:type="dxa"/>
              <w:left w:w="85" w:type="dxa"/>
              <w:bottom w:w="6" w:type="dxa"/>
              <w:right w:w="85" w:type="dxa"/>
            </w:tcMar>
          </w:tcPr>
          <w:p w14:paraId="3D014925"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30,19%</w:t>
            </w:r>
          </w:p>
        </w:tc>
      </w:tr>
      <w:tr w:rsidR="00F036F5" w14:paraId="036A4F96"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789AE122" w14:textId="77777777" w:rsidR="00F036F5" w:rsidRDefault="00F036F5">
            <w:pPr>
              <w:rPr>
                <w:i/>
                <w:iCs/>
                <w:sz w:val="15"/>
                <w:szCs w:val="15"/>
              </w:rPr>
            </w:pPr>
          </w:p>
        </w:tc>
        <w:tc>
          <w:tcPr>
            <w:tcW w:w="833" w:type="pct"/>
            <w:tcMar>
              <w:top w:w="11" w:type="dxa"/>
              <w:left w:w="85" w:type="dxa"/>
              <w:bottom w:w="6" w:type="dxa"/>
              <w:right w:w="85" w:type="dxa"/>
            </w:tcMar>
          </w:tcPr>
          <w:p w14:paraId="68BBBB54"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Pozostałe dochody bieżące</w:t>
            </w:r>
          </w:p>
        </w:tc>
        <w:tc>
          <w:tcPr>
            <w:tcW w:w="833" w:type="pct"/>
            <w:tcMar>
              <w:top w:w="11" w:type="dxa"/>
              <w:left w:w="85" w:type="dxa"/>
              <w:bottom w:w="6" w:type="dxa"/>
              <w:right w:w="85" w:type="dxa"/>
            </w:tcMar>
          </w:tcPr>
          <w:p w14:paraId="050E679A"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11 974 472,00</w:t>
            </w:r>
          </w:p>
        </w:tc>
        <w:tc>
          <w:tcPr>
            <w:tcW w:w="833" w:type="pct"/>
            <w:tcMar>
              <w:top w:w="11" w:type="dxa"/>
              <w:left w:w="85" w:type="dxa"/>
              <w:bottom w:w="6" w:type="dxa"/>
              <w:right w:w="85" w:type="dxa"/>
            </w:tcMar>
          </w:tcPr>
          <w:p w14:paraId="14A92982"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12 128 811,00</w:t>
            </w:r>
          </w:p>
        </w:tc>
        <w:tc>
          <w:tcPr>
            <w:tcW w:w="833" w:type="pct"/>
            <w:tcMar>
              <w:top w:w="11" w:type="dxa"/>
              <w:left w:w="85" w:type="dxa"/>
              <w:bottom w:w="6" w:type="dxa"/>
              <w:right w:w="85" w:type="dxa"/>
            </w:tcMar>
          </w:tcPr>
          <w:p w14:paraId="38AA1A4C"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2 671 464,96</w:t>
            </w:r>
          </w:p>
        </w:tc>
        <w:tc>
          <w:tcPr>
            <w:tcW w:w="835" w:type="pct"/>
            <w:tcMar>
              <w:top w:w="11" w:type="dxa"/>
              <w:left w:w="85" w:type="dxa"/>
              <w:bottom w:w="6" w:type="dxa"/>
              <w:right w:w="85" w:type="dxa"/>
            </w:tcMar>
          </w:tcPr>
          <w:p w14:paraId="70BFA6A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22,03%</w:t>
            </w:r>
          </w:p>
        </w:tc>
      </w:tr>
      <w:tr w:rsidR="00F036F5" w14:paraId="573BDD8E"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207BD009" w14:textId="77777777" w:rsidR="00F036F5" w:rsidRDefault="00000000">
            <w:pPr>
              <w:jc w:val="center"/>
              <w:rPr>
                <w:sz w:val="15"/>
                <w:szCs w:val="15"/>
              </w:rPr>
            </w:pPr>
            <w:r>
              <w:rPr>
                <w:sz w:val="15"/>
                <w:szCs w:val="15"/>
              </w:rPr>
              <w:t>2.</w:t>
            </w:r>
          </w:p>
        </w:tc>
        <w:tc>
          <w:tcPr>
            <w:tcW w:w="833" w:type="pct"/>
            <w:tcMar>
              <w:top w:w="11" w:type="dxa"/>
              <w:left w:w="85" w:type="dxa"/>
              <w:bottom w:w="6" w:type="dxa"/>
              <w:right w:w="85" w:type="dxa"/>
            </w:tcMar>
          </w:tcPr>
          <w:p w14:paraId="48E8B8FE"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Dochody majątkowe, w tym:</w:t>
            </w:r>
          </w:p>
        </w:tc>
        <w:tc>
          <w:tcPr>
            <w:tcW w:w="833" w:type="pct"/>
            <w:tcMar>
              <w:top w:w="11" w:type="dxa"/>
              <w:left w:w="85" w:type="dxa"/>
              <w:bottom w:w="6" w:type="dxa"/>
              <w:right w:w="85" w:type="dxa"/>
            </w:tcMar>
          </w:tcPr>
          <w:p w14:paraId="230DCC4E"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32 345 331,00</w:t>
            </w:r>
          </w:p>
        </w:tc>
        <w:tc>
          <w:tcPr>
            <w:tcW w:w="833" w:type="pct"/>
            <w:tcMar>
              <w:top w:w="11" w:type="dxa"/>
              <w:left w:w="85" w:type="dxa"/>
              <w:bottom w:w="6" w:type="dxa"/>
              <w:right w:w="85" w:type="dxa"/>
            </w:tcMar>
          </w:tcPr>
          <w:p w14:paraId="6363929E"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30 337 304,00</w:t>
            </w:r>
          </w:p>
        </w:tc>
        <w:tc>
          <w:tcPr>
            <w:tcW w:w="833" w:type="pct"/>
            <w:tcMar>
              <w:top w:w="11" w:type="dxa"/>
              <w:left w:w="85" w:type="dxa"/>
              <w:bottom w:w="6" w:type="dxa"/>
              <w:right w:w="85" w:type="dxa"/>
            </w:tcMar>
          </w:tcPr>
          <w:p w14:paraId="7DFC9FC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4 779 538,51</w:t>
            </w:r>
          </w:p>
        </w:tc>
        <w:tc>
          <w:tcPr>
            <w:tcW w:w="835" w:type="pct"/>
            <w:tcMar>
              <w:top w:w="11" w:type="dxa"/>
              <w:left w:w="85" w:type="dxa"/>
              <w:bottom w:w="6" w:type="dxa"/>
              <w:right w:w="85" w:type="dxa"/>
            </w:tcMar>
          </w:tcPr>
          <w:p w14:paraId="5F8A49BE"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15,75%</w:t>
            </w:r>
          </w:p>
        </w:tc>
      </w:tr>
      <w:tr w:rsidR="00F036F5" w14:paraId="159D6BB2"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2EAF8121" w14:textId="77777777" w:rsidR="00F036F5" w:rsidRDefault="00F036F5">
            <w:pPr>
              <w:rPr>
                <w:i/>
                <w:iCs/>
                <w:sz w:val="15"/>
                <w:szCs w:val="15"/>
              </w:rPr>
            </w:pPr>
          </w:p>
        </w:tc>
        <w:tc>
          <w:tcPr>
            <w:tcW w:w="833" w:type="pct"/>
            <w:tcMar>
              <w:top w:w="11" w:type="dxa"/>
              <w:left w:w="85" w:type="dxa"/>
              <w:bottom w:w="6" w:type="dxa"/>
              <w:right w:w="85" w:type="dxa"/>
            </w:tcMar>
          </w:tcPr>
          <w:p w14:paraId="1DF9A216"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Dochody z majątku</w:t>
            </w:r>
          </w:p>
        </w:tc>
        <w:tc>
          <w:tcPr>
            <w:tcW w:w="833" w:type="pct"/>
            <w:tcMar>
              <w:top w:w="11" w:type="dxa"/>
              <w:left w:w="85" w:type="dxa"/>
              <w:bottom w:w="6" w:type="dxa"/>
              <w:right w:w="85" w:type="dxa"/>
            </w:tcMar>
          </w:tcPr>
          <w:p w14:paraId="0CCBEA55"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5 835 000,00</w:t>
            </w:r>
          </w:p>
        </w:tc>
        <w:tc>
          <w:tcPr>
            <w:tcW w:w="833" w:type="pct"/>
            <w:tcMar>
              <w:top w:w="11" w:type="dxa"/>
              <w:left w:w="85" w:type="dxa"/>
              <w:bottom w:w="6" w:type="dxa"/>
              <w:right w:w="85" w:type="dxa"/>
            </w:tcMar>
          </w:tcPr>
          <w:p w14:paraId="05E9652C"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5 835 000,00</w:t>
            </w:r>
          </w:p>
        </w:tc>
        <w:tc>
          <w:tcPr>
            <w:tcW w:w="833" w:type="pct"/>
            <w:tcMar>
              <w:top w:w="11" w:type="dxa"/>
              <w:left w:w="85" w:type="dxa"/>
              <w:bottom w:w="6" w:type="dxa"/>
              <w:right w:w="85" w:type="dxa"/>
            </w:tcMar>
          </w:tcPr>
          <w:p w14:paraId="65DAF57D"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234 090,28</w:t>
            </w:r>
          </w:p>
        </w:tc>
        <w:tc>
          <w:tcPr>
            <w:tcW w:w="835" w:type="pct"/>
            <w:tcMar>
              <w:top w:w="11" w:type="dxa"/>
              <w:left w:w="85" w:type="dxa"/>
              <w:bottom w:w="6" w:type="dxa"/>
              <w:right w:w="85" w:type="dxa"/>
            </w:tcMar>
          </w:tcPr>
          <w:p w14:paraId="1C08B892"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4,01%</w:t>
            </w:r>
          </w:p>
        </w:tc>
      </w:tr>
      <w:tr w:rsidR="00F036F5" w14:paraId="60AA6214"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5339370C" w14:textId="77777777" w:rsidR="00F036F5" w:rsidRDefault="00F036F5">
            <w:pPr>
              <w:rPr>
                <w:i/>
                <w:iCs/>
                <w:sz w:val="15"/>
                <w:szCs w:val="15"/>
              </w:rPr>
            </w:pPr>
          </w:p>
        </w:tc>
        <w:tc>
          <w:tcPr>
            <w:tcW w:w="833" w:type="pct"/>
            <w:tcMar>
              <w:top w:w="11" w:type="dxa"/>
              <w:left w:w="85" w:type="dxa"/>
              <w:bottom w:w="6" w:type="dxa"/>
              <w:right w:w="85" w:type="dxa"/>
            </w:tcMar>
          </w:tcPr>
          <w:p w14:paraId="5501A7B7"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Dotacje i środki na inwestycje</w:t>
            </w:r>
          </w:p>
        </w:tc>
        <w:tc>
          <w:tcPr>
            <w:tcW w:w="833" w:type="pct"/>
            <w:tcMar>
              <w:top w:w="11" w:type="dxa"/>
              <w:left w:w="85" w:type="dxa"/>
              <w:bottom w:w="6" w:type="dxa"/>
              <w:right w:w="85" w:type="dxa"/>
            </w:tcMar>
          </w:tcPr>
          <w:p w14:paraId="3B8C07F3"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26 510 331,00</w:t>
            </w:r>
          </w:p>
        </w:tc>
        <w:tc>
          <w:tcPr>
            <w:tcW w:w="833" w:type="pct"/>
            <w:tcMar>
              <w:top w:w="11" w:type="dxa"/>
              <w:left w:w="85" w:type="dxa"/>
              <w:bottom w:w="6" w:type="dxa"/>
              <w:right w:w="85" w:type="dxa"/>
            </w:tcMar>
          </w:tcPr>
          <w:p w14:paraId="0619C169"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24 502 304,00</w:t>
            </w:r>
          </w:p>
        </w:tc>
        <w:tc>
          <w:tcPr>
            <w:tcW w:w="833" w:type="pct"/>
            <w:tcMar>
              <w:top w:w="11" w:type="dxa"/>
              <w:left w:w="85" w:type="dxa"/>
              <w:bottom w:w="6" w:type="dxa"/>
              <w:right w:w="85" w:type="dxa"/>
            </w:tcMar>
          </w:tcPr>
          <w:p w14:paraId="251D7B3D"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4 544 448,23</w:t>
            </w:r>
          </w:p>
        </w:tc>
        <w:tc>
          <w:tcPr>
            <w:tcW w:w="835" w:type="pct"/>
            <w:tcMar>
              <w:top w:w="11" w:type="dxa"/>
              <w:left w:w="85" w:type="dxa"/>
              <w:bottom w:w="6" w:type="dxa"/>
              <w:right w:w="85" w:type="dxa"/>
            </w:tcMar>
          </w:tcPr>
          <w:p w14:paraId="770D9F6F"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18,55%</w:t>
            </w:r>
          </w:p>
        </w:tc>
      </w:tr>
      <w:tr w:rsidR="00F036F5" w14:paraId="3E02D82C"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038183BE" w14:textId="77777777" w:rsidR="00F036F5" w:rsidRDefault="00F036F5">
            <w:pPr>
              <w:rPr>
                <w:i/>
                <w:iCs/>
                <w:sz w:val="15"/>
                <w:szCs w:val="15"/>
              </w:rPr>
            </w:pPr>
          </w:p>
        </w:tc>
        <w:tc>
          <w:tcPr>
            <w:tcW w:w="833" w:type="pct"/>
            <w:tcMar>
              <w:top w:w="11" w:type="dxa"/>
              <w:left w:w="85" w:type="dxa"/>
              <w:bottom w:w="6" w:type="dxa"/>
              <w:right w:w="85" w:type="dxa"/>
            </w:tcMar>
          </w:tcPr>
          <w:p w14:paraId="1AA7C7C6"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Pozostałe dochody majątkowe</w:t>
            </w:r>
          </w:p>
        </w:tc>
        <w:tc>
          <w:tcPr>
            <w:tcW w:w="833" w:type="pct"/>
            <w:tcMar>
              <w:top w:w="11" w:type="dxa"/>
              <w:left w:w="85" w:type="dxa"/>
              <w:bottom w:w="6" w:type="dxa"/>
              <w:right w:w="85" w:type="dxa"/>
            </w:tcMar>
          </w:tcPr>
          <w:p w14:paraId="31A7AFCD"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0,00</w:t>
            </w:r>
          </w:p>
        </w:tc>
        <w:tc>
          <w:tcPr>
            <w:tcW w:w="833" w:type="pct"/>
            <w:tcMar>
              <w:top w:w="11" w:type="dxa"/>
              <w:left w:w="85" w:type="dxa"/>
              <w:bottom w:w="6" w:type="dxa"/>
              <w:right w:w="85" w:type="dxa"/>
            </w:tcMar>
          </w:tcPr>
          <w:p w14:paraId="09102025"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0,00</w:t>
            </w:r>
          </w:p>
        </w:tc>
        <w:tc>
          <w:tcPr>
            <w:tcW w:w="833" w:type="pct"/>
            <w:tcMar>
              <w:top w:w="11" w:type="dxa"/>
              <w:left w:w="85" w:type="dxa"/>
              <w:bottom w:w="6" w:type="dxa"/>
              <w:right w:w="85" w:type="dxa"/>
            </w:tcMar>
          </w:tcPr>
          <w:p w14:paraId="4AADE8A8"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1 000,00</w:t>
            </w:r>
          </w:p>
        </w:tc>
        <w:tc>
          <w:tcPr>
            <w:tcW w:w="835" w:type="pct"/>
            <w:tcMar>
              <w:top w:w="11" w:type="dxa"/>
              <w:left w:w="85" w:type="dxa"/>
              <w:bottom w:w="6" w:type="dxa"/>
              <w:right w:w="85" w:type="dxa"/>
            </w:tcMar>
          </w:tcPr>
          <w:p w14:paraId="0CC35E3C"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w:t>
            </w:r>
          </w:p>
        </w:tc>
      </w:tr>
      <w:tr w:rsidR="00F036F5" w14:paraId="2E568B3A"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0E2BE88E" w14:textId="77777777" w:rsidR="00F036F5" w:rsidRDefault="00000000">
            <w:pPr>
              <w:jc w:val="center"/>
              <w:rPr>
                <w:b/>
                <w:bCs/>
                <w:sz w:val="15"/>
                <w:szCs w:val="15"/>
              </w:rPr>
            </w:pPr>
            <w:r>
              <w:rPr>
                <w:b/>
                <w:bCs/>
                <w:sz w:val="15"/>
                <w:szCs w:val="15"/>
              </w:rPr>
              <w:t>II.</w:t>
            </w:r>
          </w:p>
        </w:tc>
        <w:tc>
          <w:tcPr>
            <w:tcW w:w="833" w:type="pct"/>
            <w:tcMar>
              <w:top w:w="11" w:type="dxa"/>
              <w:left w:w="85" w:type="dxa"/>
              <w:bottom w:w="6" w:type="dxa"/>
              <w:right w:w="85" w:type="dxa"/>
            </w:tcMar>
          </w:tcPr>
          <w:p w14:paraId="45853786"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Wydatki ogółem, w tym:</w:t>
            </w:r>
          </w:p>
        </w:tc>
        <w:tc>
          <w:tcPr>
            <w:tcW w:w="833" w:type="pct"/>
            <w:tcMar>
              <w:top w:w="11" w:type="dxa"/>
              <w:left w:w="85" w:type="dxa"/>
              <w:bottom w:w="6" w:type="dxa"/>
              <w:right w:w="85" w:type="dxa"/>
            </w:tcMar>
          </w:tcPr>
          <w:p w14:paraId="22AFE267"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259 933 914,00</w:t>
            </w:r>
          </w:p>
        </w:tc>
        <w:tc>
          <w:tcPr>
            <w:tcW w:w="833" w:type="pct"/>
            <w:tcMar>
              <w:top w:w="11" w:type="dxa"/>
              <w:left w:w="85" w:type="dxa"/>
              <w:bottom w:w="6" w:type="dxa"/>
              <w:right w:w="85" w:type="dxa"/>
            </w:tcMar>
          </w:tcPr>
          <w:p w14:paraId="508D5146"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283 810 995,02</w:t>
            </w:r>
          </w:p>
        </w:tc>
        <w:tc>
          <w:tcPr>
            <w:tcW w:w="833" w:type="pct"/>
            <w:tcMar>
              <w:top w:w="11" w:type="dxa"/>
              <w:left w:w="85" w:type="dxa"/>
              <w:bottom w:w="6" w:type="dxa"/>
              <w:right w:w="85" w:type="dxa"/>
            </w:tcMar>
          </w:tcPr>
          <w:p w14:paraId="5873CBAF"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63 805 848,91</w:t>
            </w:r>
          </w:p>
        </w:tc>
        <w:tc>
          <w:tcPr>
            <w:tcW w:w="835" w:type="pct"/>
            <w:tcMar>
              <w:top w:w="11" w:type="dxa"/>
              <w:left w:w="85" w:type="dxa"/>
              <w:bottom w:w="6" w:type="dxa"/>
              <w:right w:w="85" w:type="dxa"/>
            </w:tcMar>
          </w:tcPr>
          <w:p w14:paraId="6D59EFEF"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22,48%</w:t>
            </w:r>
          </w:p>
        </w:tc>
      </w:tr>
      <w:tr w:rsidR="00F036F5" w14:paraId="78E8154D"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4927FD05" w14:textId="77777777" w:rsidR="00F036F5" w:rsidRDefault="00000000">
            <w:pPr>
              <w:jc w:val="center"/>
              <w:rPr>
                <w:sz w:val="15"/>
                <w:szCs w:val="15"/>
              </w:rPr>
            </w:pPr>
            <w:r>
              <w:rPr>
                <w:sz w:val="15"/>
                <w:szCs w:val="15"/>
              </w:rPr>
              <w:t>1.</w:t>
            </w:r>
          </w:p>
        </w:tc>
        <w:tc>
          <w:tcPr>
            <w:tcW w:w="833" w:type="pct"/>
            <w:tcMar>
              <w:top w:w="11" w:type="dxa"/>
              <w:left w:w="85" w:type="dxa"/>
              <w:bottom w:w="6" w:type="dxa"/>
              <w:right w:w="85" w:type="dxa"/>
            </w:tcMar>
          </w:tcPr>
          <w:p w14:paraId="1E229790"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Wydatki bieżące</w:t>
            </w:r>
          </w:p>
        </w:tc>
        <w:tc>
          <w:tcPr>
            <w:tcW w:w="833" w:type="pct"/>
            <w:tcMar>
              <w:top w:w="11" w:type="dxa"/>
              <w:left w:w="85" w:type="dxa"/>
              <w:bottom w:w="6" w:type="dxa"/>
              <w:right w:w="85" w:type="dxa"/>
            </w:tcMar>
          </w:tcPr>
          <w:p w14:paraId="301D349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213 858 005,00</w:t>
            </w:r>
          </w:p>
        </w:tc>
        <w:tc>
          <w:tcPr>
            <w:tcW w:w="833" w:type="pct"/>
            <w:tcMar>
              <w:top w:w="11" w:type="dxa"/>
              <w:left w:w="85" w:type="dxa"/>
              <w:bottom w:w="6" w:type="dxa"/>
              <w:right w:w="85" w:type="dxa"/>
            </w:tcMar>
          </w:tcPr>
          <w:p w14:paraId="6B78924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232 064 571,02</w:t>
            </w:r>
          </w:p>
        </w:tc>
        <w:tc>
          <w:tcPr>
            <w:tcW w:w="833" w:type="pct"/>
            <w:tcMar>
              <w:top w:w="11" w:type="dxa"/>
              <w:left w:w="85" w:type="dxa"/>
              <w:bottom w:w="6" w:type="dxa"/>
              <w:right w:w="85" w:type="dxa"/>
            </w:tcMar>
          </w:tcPr>
          <w:p w14:paraId="0B90717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62 201 341,59</w:t>
            </w:r>
          </w:p>
        </w:tc>
        <w:tc>
          <w:tcPr>
            <w:tcW w:w="835" w:type="pct"/>
            <w:tcMar>
              <w:top w:w="11" w:type="dxa"/>
              <w:left w:w="85" w:type="dxa"/>
              <w:bottom w:w="6" w:type="dxa"/>
              <w:right w:w="85" w:type="dxa"/>
            </w:tcMar>
          </w:tcPr>
          <w:p w14:paraId="3F5D49E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26,80%</w:t>
            </w:r>
          </w:p>
        </w:tc>
      </w:tr>
      <w:tr w:rsidR="00F036F5" w14:paraId="34EE5221"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7A861FA2" w14:textId="77777777" w:rsidR="00F036F5" w:rsidRDefault="00000000">
            <w:pPr>
              <w:jc w:val="center"/>
              <w:rPr>
                <w:sz w:val="15"/>
                <w:szCs w:val="15"/>
              </w:rPr>
            </w:pPr>
            <w:r>
              <w:rPr>
                <w:sz w:val="15"/>
                <w:szCs w:val="15"/>
              </w:rPr>
              <w:t>2.</w:t>
            </w:r>
          </w:p>
        </w:tc>
        <w:tc>
          <w:tcPr>
            <w:tcW w:w="833" w:type="pct"/>
            <w:tcMar>
              <w:top w:w="11" w:type="dxa"/>
              <w:left w:w="85" w:type="dxa"/>
              <w:bottom w:w="6" w:type="dxa"/>
              <w:right w:w="85" w:type="dxa"/>
            </w:tcMar>
          </w:tcPr>
          <w:p w14:paraId="06788304"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Wydatki majątkowe, w tym:</w:t>
            </w:r>
          </w:p>
        </w:tc>
        <w:tc>
          <w:tcPr>
            <w:tcW w:w="833" w:type="pct"/>
            <w:tcMar>
              <w:top w:w="11" w:type="dxa"/>
              <w:left w:w="85" w:type="dxa"/>
              <w:bottom w:w="6" w:type="dxa"/>
              <w:right w:w="85" w:type="dxa"/>
            </w:tcMar>
          </w:tcPr>
          <w:p w14:paraId="5846D8F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46 075 909,00</w:t>
            </w:r>
          </w:p>
        </w:tc>
        <w:tc>
          <w:tcPr>
            <w:tcW w:w="833" w:type="pct"/>
            <w:tcMar>
              <w:top w:w="11" w:type="dxa"/>
              <w:left w:w="85" w:type="dxa"/>
              <w:bottom w:w="6" w:type="dxa"/>
              <w:right w:w="85" w:type="dxa"/>
            </w:tcMar>
          </w:tcPr>
          <w:p w14:paraId="30FF460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51 746 424,00</w:t>
            </w:r>
          </w:p>
        </w:tc>
        <w:tc>
          <w:tcPr>
            <w:tcW w:w="833" w:type="pct"/>
            <w:tcMar>
              <w:top w:w="11" w:type="dxa"/>
              <w:left w:w="85" w:type="dxa"/>
              <w:bottom w:w="6" w:type="dxa"/>
              <w:right w:w="85" w:type="dxa"/>
            </w:tcMar>
          </w:tcPr>
          <w:p w14:paraId="4C2DD4B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1 604 507,32</w:t>
            </w:r>
          </w:p>
        </w:tc>
        <w:tc>
          <w:tcPr>
            <w:tcW w:w="835" w:type="pct"/>
            <w:tcMar>
              <w:top w:w="11" w:type="dxa"/>
              <w:left w:w="85" w:type="dxa"/>
              <w:bottom w:w="6" w:type="dxa"/>
              <w:right w:w="85" w:type="dxa"/>
            </w:tcMar>
          </w:tcPr>
          <w:p w14:paraId="1545E1A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3,10%</w:t>
            </w:r>
          </w:p>
        </w:tc>
      </w:tr>
      <w:tr w:rsidR="00F036F5" w14:paraId="6F84AE6D"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35D19800" w14:textId="77777777" w:rsidR="00F036F5" w:rsidRDefault="00F036F5">
            <w:pPr>
              <w:rPr>
                <w:i/>
                <w:iCs/>
                <w:sz w:val="15"/>
                <w:szCs w:val="15"/>
              </w:rPr>
            </w:pPr>
          </w:p>
        </w:tc>
        <w:tc>
          <w:tcPr>
            <w:tcW w:w="833" w:type="pct"/>
            <w:tcMar>
              <w:top w:w="11" w:type="dxa"/>
              <w:left w:w="85" w:type="dxa"/>
              <w:bottom w:w="6" w:type="dxa"/>
              <w:right w:w="85" w:type="dxa"/>
            </w:tcMar>
          </w:tcPr>
          <w:p w14:paraId="44C113F0"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wydatki na inwestycje</w:t>
            </w:r>
          </w:p>
        </w:tc>
        <w:tc>
          <w:tcPr>
            <w:tcW w:w="833" w:type="pct"/>
            <w:tcMar>
              <w:top w:w="11" w:type="dxa"/>
              <w:left w:w="85" w:type="dxa"/>
              <w:bottom w:w="6" w:type="dxa"/>
              <w:right w:w="85" w:type="dxa"/>
            </w:tcMar>
          </w:tcPr>
          <w:p w14:paraId="3E26B328"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46 075 909,00</w:t>
            </w:r>
          </w:p>
        </w:tc>
        <w:tc>
          <w:tcPr>
            <w:tcW w:w="833" w:type="pct"/>
            <w:tcMar>
              <w:top w:w="11" w:type="dxa"/>
              <w:left w:w="85" w:type="dxa"/>
              <w:bottom w:w="6" w:type="dxa"/>
              <w:right w:w="85" w:type="dxa"/>
            </w:tcMar>
          </w:tcPr>
          <w:p w14:paraId="6DB3DE9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45 246 424,00</w:t>
            </w:r>
          </w:p>
        </w:tc>
        <w:tc>
          <w:tcPr>
            <w:tcW w:w="833" w:type="pct"/>
            <w:tcMar>
              <w:top w:w="11" w:type="dxa"/>
              <w:left w:w="85" w:type="dxa"/>
              <w:bottom w:w="6" w:type="dxa"/>
              <w:right w:w="85" w:type="dxa"/>
            </w:tcMar>
          </w:tcPr>
          <w:p w14:paraId="2870527B"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1 604 507,32</w:t>
            </w:r>
          </w:p>
        </w:tc>
        <w:tc>
          <w:tcPr>
            <w:tcW w:w="835" w:type="pct"/>
            <w:tcMar>
              <w:top w:w="11" w:type="dxa"/>
              <w:left w:w="85" w:type="dxa"/>
              <w:bottom w:w="6" w:type="dxa"/>
              <w:right w:w="85" w:type="dxa"/>
            </w:tcMar>
          </w:tcPr>
          <w:p w14:paraId="7818EE8E" w14:textId="77777777" w:rsidR="00F036F5" w:rsidRDefault="00000000">
            <w:pPr>
              <w:cnfStyle w:val="000000000000" w:firstRow="0" w:lastRow="0" w:firstColumn="0" w:lastColumn="0" w:oddVBand="0" w:evenVBand="0" w:oddHBand="0" w:evenHBand="0" w:firstRowFirstColumn="0" w:firstRowLastColumn="0" w:lastRowFirstColumn="0" w:lastRowLastColumn="0"/>
              <w:rPr>
                <w:i/>
                <w:iCs/>
                <w:sz w:val="15"/>
                <w:szCs w:val="15"/>
              </w:rPr>
            </w:pPr>
            <w:r>
              <w:rPr>
                <w:i/>
                <w:iCs/>
                <w:sz w:val="15"/>
                <w:szCs w:val="15"/>
              </w:rPr>
              <w:t>3,55%</w:t>
            </w:r>
          </w:p>
        </w:tc>
      </w:tr>
      <w:tr w:rsidR="00F036F5" w14:paraId="58675F07"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50247AB7" w14:textId="77777777" w:rsidR="00F036F5" w:rsidRDefault="00000000">
            <w:pPr>
              <w:jc w:val="center"/>
              <w:rPr>
                <w:b/>
                <w:bCs/>
                <w:sz w:val="15"/>
                <w:szCs w:val="15"/>
              </w:rPr>
            </w:pPr>
            <w:r>
              <w:rPr>
                <w:b/>
                <w:bCs/>
                <w:sz w:val="15"/>
                <w:szCs w:val="15"/>
              </w:rPr>
              <w:t>III.</w:t>
            </w:r>
          </w:p>
        </w:tc>
        <w:tc>
          <w:tcPr>
            <w:tcW w:w="833" w:type="pct"/>
            <w:tcMar>
              <w:top w:w="11" w:type="dxa"/>
              <w:left w:w="85" w:type="dxa"/>
              <w:bottom w:w="6" w:type="dxa"/>
              <w:right w:w="85" w:type="dxa"/>
            </w:tcMar>
          </w:tcPr>
          <w:p w14:paraId="2284A6B5"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Wynik +/- (I-II)</w:t>
            </w:r>
          </w:p>
        </w:tc>
        <w:tc>
          <w:tcPr>
            <w:tcW w:w="833" w:type="pct"/>
            <w:tcMar>
              <w:top w:w="11" w:type="dxa"/>
              <w:left w:w="85" w:type="dxa"/>
              <w:bottom w:w="6" w:type="dxa"/>
              <w:right w:w="85" w:type="dxa"/>
            </w:tcMar>
          </w:tcPr>
          <w:p w14:paraId="55FC3AA1"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-18 687 230,00</w:t>
            </w:r>
          </w:p>
        </w:tc>
        <w:tc>
          <w:tcPr>
            <w:tcW w:w="833" w:type="pct"/>
            <w:tcMar>
              <w:top w:w="11" w:type="dxa"/>
              <w:left w:w="85" w:type="dxa"/>
              <w:bottom w:w="6" w:type="dxa"/>
              <w:right w:w="85" w:type="dxa"/>
            </w:tcMar>
          </w:tcPr>
          <w:p w14:paraId="48621A44"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-26 583 516,00</w:t>
            </w:r>
          </w:p>
        </w:tc>
        <w:tc>
          <w:tcPr>
            <w:tcW w:w="833" w:type="pct"/>
            <w:tcMar>
              <w:top w:w="11" w:type="dxa"/>
              <w:left w:w="85" w:type="dxa"/>
              <w:bottom w:w="6" w:type="dxa"/>
              <w:right w:w="85" w:type="dxa"/>
            </w:tcMar>
          </w:tcPr>
          <w:p w14:paraId="76966C21"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10 945 786,11</w:t>
            </w:r>
          </w:p>
        </w:tc>
        <w:tc>
          <w:tcPr>
            <w:tcW w:w="835" w:type="pct"/>
            <w:tcMar>
              <w:top w:w="11" w:type="dxa"/>
              <w:left w:w="85" w:type="dxa"/>
              <w:bottom w:w="6" w:type="dxa"/>
              <w:right w:w="85" w:type="dxa"/>
            </w:tcMar>
          </w:tcPr>
          <w:p w14:paraId="03BF2E7F"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w:t>
            </w:r>
          </w:p>
        </w:tc>
      </w:tr>
      <w:tr w:rsidR="00F036F5" w14:paraId="42CC6D5B" w14:textId="77777777" w:rsidTr="00F036F5">
        <w:tc>
          <w:tcPr>
            <w:cnfStyle w:val="001000000000" w:firstRow="0" w:lastRow="0" w:firstColumn="1" w:lastColumn="0" w:oddVBand="0" w:evenVBand="0" w:oddHBand="0" w:evenHBand="0" w:firstRowFirstColumn="0" w:firstRowLastColumn="0" w:lastRowFirstColumn="0" w:lastRowLastColumn="0"/>
            <w:tcW w:w="833" w:type="pct"/>
            <w:tcMar>
              <w:top w:w="11" w:type="dxa"/>
              <w:left w:w="85" w:type="dxa"/>
              <w:bottom w:w="6" w:type="dxa"/>
              <w:right w:w="85" w:type="dxa"/>
            </w:tcMar>
          </w:tcPr>
          <w:p w14:paraId="10B585C8" w14:textId="77777777" w:rsidR="00F036F5" w:rsidRDefault="00000000">
            <w:pPr>
              <w:jc w:val="center"/>
              <w:rPr>
                <w:b/>
                <w:bCs/>
                <w:sz w:val="15"/>
                <w:szCs w:val="15"/>
              </w:rPr>
            </w:pPr>
            <w:r>
              <w:rPr>
                <w:b/>
                <w:bCs/>
                <w:sz w:val="15"/>
                <w:szCs w:val="15"/>
              </w:rPr>
              <w:t>IV.</w:t>
            </w:r>
          </w:p>
        </w:tc>
        <w:tc>
          <w:tcPr>
            <w:tcW w:w="833" w:type="pct"/>
            <w:tcMar>
              <w:top w:w="11" w:type="dxa"/>
              <w:left w:w="85" w:type="dxa"/>
              <w:bottom w:w="6" w:type="dxa"/>
              <w:right w:w="85" w:type="dxa"/>
            </w:tcMar>
          </w:tcPr>
          <w:p w14:paraId="1EDA1543" w14:textId="77777777" w:rsidR="00F036F5" w:rsidRDefault="00000000">
            <w:pPr>
              <w:jc w:val="left"/>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Różnica między dochodami bieżącymi a wydatkami bieżącymi</w:t>
            </w:r>
          </w:p>
        </w:tc>
        <w:tc>
          <w:tcPr>
            <w:tcW w:w="833" w:type="pct"/>
            <w:tcMar>
              <w:top w:w="11" w:type="dxa"/>
              <w:left w:w="85" w:type="dxa"/>
              <w:bottom w:w="6" w:type="dxa"/>
              <w:right w:w="85" w:type="dxa"/>
            </w:tcMar>
          </w:tcPr>
          <w:p w14:paraId="2F6E6962"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-4 956 652,00</w:t>
            </w:r>
          </w:p>
        </w:tc>
        <w:tc>
          <w:tcPr>
            <w:tcW w:w="833" w:type="pct"/>
            <w:tcMar>
              <w:top w:w="11" w:type="dxa"/>
              <w:left w:w="85" w:type="dxa"/>
              <w:bottom w:w="6" w:type="dxa"/>
              <w:right w:w="85" w:type="dxa"/>
            </w:tcMar>
          </w:tcPr>
          <w:p w14:paraId="39CD975D"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-5 174 396,00</w:t>
            </w:r>
          </w:p>
        </w:tc>
        <w:tc>
          <w:tcPr>
            <w:tcW w:w="833" w:type="pct"/>
            <w:tcMar>
              <w:top w:w="11" w:type="dxa"/>
              <w:left w:w="85" w:type="dxa"/>
              <w:bottom w:w="6" w:type="dxa"/>
              <w:right w:w="85" w:type="dxa"/>
            </w:tcMar>
          </w:tcPr>
          <w:p w14:paraId="1F349E8F"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7 770 754,92</w:t>
            </w:r>
          </w:p>
        </w:tc>
        <w:tc>
          <w:tcPr>
            <w:tcW w:w="835" w:type="pct"/>
            <w:tcMar>
              <w:top w:w="11" w:type="dxa"/>
              <w:left w:w="85" w:type="dxa"/>
              <w:bottom w:w="6" w:type="dxa"/>
              <w:right w:w="85" w:type="dxa"/>
            </w:tcMar>
          </w:tcPr>
          <w:p w14:paraId="40B38A46"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sz w:val="15"/>
                <w:szCs w:val="15"/>
              </w:rPr>
            </w:pPr>
            <w:r>
              <w:rPr>
                <w:b/>
                <w:bCs/>
                <w:sz w:val="15"/>
                <w:szCs w:val="15"/>
              </w:rPr>
              <w:t>-</w:t>
            </w:r>
          </w:p>
        </w:tc>
      </w:tr>
    </w:tbl>
    <w:p w14:paraId="378C124D" w14:textId="77777777" w:rsidR="00F036F5" w:rsidRDefault="00F036F5">
      <w:pPr>
        <w:jc w:val="both"/>
      </w:pPr>
    </w:p>
    <w:p w14:paraId="13A6F070" w14:textId="77777777" w:rsidR="00F036F5" w:rsidRDefault="00000000">
      <w:pPr>
        <w:jc w:val="both"/>
      </w:pPr>
      <w:r>
        <w:t>Na koniec pierwszego kwartału wystąpiła nadwyżka budżetowa w kwocie 10 945 786,11 zł. Różnica między dochodami bieżącymi a wydatkami bieżącymi (wynik budżetu bieżącego) wynosi 7 770 754,92 zł.</w:t>
      </w:r>
    </w:p>
    <w:p w14:paraId="0662B1B6" w14:textId="77777777" w:rsidR="00F036F5" w:rsidRPr="000E3D4C" w:rsidRDefault="00000000">
      <w:pPr>
        <w:pStyle w:val="SmallSubtitle"/>
        <w:rPr>
          <w:lang w:val="pl-PL"/>
        </w:rPr>
      </w:pPr>
      <w:r w:rsidRPr="000E3D4C">
        <w:rPr>
          <w:lang w:val="pl-PL"/>
        </w:rPr>
        <w:t>Dochody</w:t>
      </w:r>
    </w:p>
    <w:p w14:paraId="13484F5D" w14:textId="77777777" w:rsidR="00F036F5" w:rsidRDefault="00000000">
      <w:pPr>
        <w:jc w:val="both"/>
      </w:pPr>
      <w:r>
        <w:t>Dochody budżetu Gminy miejskiej w pierwszym kwartale 2024 roku wyniosły 74 751 635,02 zł, a ich realizacja stanowiła 29,06% planu wynoszącego 257 227 479,02 zł. W strukturze dochodów znaczący udział odgrywają dochody bieżące, które w pierwszym kwartale 2024 roku zostały wykonane na poziomie 69 972 096,51 zł, tj. w 30,84% w stosunku do planu wynoszącego 226 890 175,02 zł. Dochody majątkowe Gminy miejskiej Chojnice w pierwszym kwartale 2024 roku zostały wykonane na poziomie 4 779 538,51 zł, tj. w 15,75% w stosunku do planu wynoszącego 30 337 304,00 zł.</w:t>
      </w:r>
    </w:p>
    <w:p w14:paraId="581957C2" w14:textId="77777777" w:rsidR="00F036F5" w:rsidRPr="000E3D4C" w:rsidRDefault="00000000">
      <w:pPr>
        <w:pStyle w:val="SmallSubtitle"/>
        <w:rPr>
          <w:lang w:val="pl-PL"/>
        </w:rPr>
      </w:pPr>
      <w:r w:rsidRPr="000E3D4C">
        <w:rPr>
          <w:lang w:val="pl-PL"/>
        </w:rPr>
        <w:lastRenderedPageBreak/>
        <w:t>Dotacje i dochody celowe bieżące</w:t>
      </w:r>
    </w:p>
    <w:p w14:paraId="5F48976C" w14:textId="77777777" w:rsidR="00F036F5" w:rsidRDefault="00000000">
      <w:pPr>
        <w:jc w:val="both"/>
      </w:pPr>
      <w:r>
        <w:t>Biorąc pod uwagę podział dochodów bieżących wg źródeł ich pochodzenia znaczący udział w pierwszym kwartale 2024 roku stanowiły dochody o charakterze celowym, które JST otrzymuje od podmiotów zewnętrznych. W pierwszym kwartale 2024 roku środki te zostały zaplanowane w kwocie 42 037 242,02 zł, z kolei zrealizowane na poziomie 14 118 065,58 zł, co stanowi 33,58% realizacji planu, przy czym:</w:t>
      </w:r>
    </w:p>
    <w:p w14:paraId="7EE6044A" w14:textId="77777777" w:rsidR="00F036F5" w:rsidRDefault="00000000">
      <w:pPr>
        <w:pStyle w:val="Akapitzlist"/>
        <w:numPr>
          <w:ilvl w:val="0"/>
          <w:numId w:val="25"/>
        </w:numPr>
        <w:jc w:val="both"/>
      </w:pPr>
      <w:r>
        <w:t>dotacje celowe otrzymane z budżetu państwa na realizację zadań z zakresu administracji rządowej wyniosły 10 288 182,28 zł;</w:t>
      </w:r>
    </w:p>
    <w:p w14:paraId="593F86F6" w14:textId="77777777" w:rsidR="00F036F5" w:rsidRDefault="00000000">
      <w:pPr>
        <w:pStyle w:val="Akapitzlist"/>
        <w:numPr>
          <w:ilvl w:val="0"/>
          <w:numId w:val="25"/>
        </w:numPr>
        <w:jc w:val="both"/>
      </w:pPr>
      <w:r>
        <w:t>dotacje na realizację zadań realizowanych na mocy porozumień z organami administracji rządowej 10 000,00 zł;</w:t>
      </w:r>
    </w:p>
    <w:p w14:paraId="752983C6" w14:textId="77777777" w:rsidR="00F036F5" w:rsidRDefault="00000000">
      <w:pPr>
        <w:pStyle w:val="Akapitzlist"/>
        <w:numPr>
          <w:ilvl w:val="0"/>
          <w:numId w:val="25"/>
        </w:numPr>
        <w:jc w:val="both"/>
      </w:pPr>
      <w:r>
        <w:t>dotacje celowe otrzymane z budżetu państwa na zadania własne 1 278 103,00 zł;</w:t>
      </w:r>
    </w:p>
    <w:p w14:paraId="54B13F29" w14:textId="77777777" w:rsidR="00F036F5" w:rsidRDefault="00000000">
      <w:pPr>
        <w:pStyle w:val="Akapitzlist"/>
        <w:numPr>
          <w:ilvl w:val="0"/>
          <w:numId w:val="25"/>
        </w:numPr>
        <w:jc w:val="both"/>
      </w:pPr>
      <w:r>
        <w:t>dochody z dotacji na zadania realizowane na podstawie porozumień między jednostkami samorządu terytorialnego 633 560,00 zł;</w:t>
      </w:r>
    </w:p>
    <w:p w14:paraId="2ED0E807" w14:textId="77777777" w:rsidR="00F036F5" w:rsidRDefault="00000000">
      <w:pPr>
        <w:pStyle w:val="Akapitzlist"/>
        <w:numPr>
          <w:ilvl w:val="0"/>
          <w:numId w:val="25"/>
        </w:numPr>
        <w:jc w:val="both"/>
      </w:pPr>
      <w:r>
        <w:t>pozostałe dochody o charakterze celowym 1 908 220,30 zł.</w:t>
      </w:r>
    </w:p>
    <w:p w14:paraId="1F62301C" w14:textId="77777777" w:rsidR="00F036F5" w:rsidRPr="000E3D4C" w:rsidRDefault="00000000">
      <w:pPr>
        <w:pStyle w:val="SmallSubtitle"/>
        <w:rPr>
          <w:lang w:val="pl-PL"/>
        </w:rPr>
      </w:pPr>
      <w:r w:rsidRPr="000E3D4C">
        <w:rPr>
          <w:lang w:val="pl-PL"/>
        </w:rPr>
        <w:t>Subwencja ogólna</w:t>
      </w:r>
    </w:p>
    <w:p w14:paraId="14DC544D" w14:textId="77777777" w:rsidR="00F036F5" w:rsidRDefault="00000000">
      <w:pPr>
        <w:jc w:val="both"/>
      </w:pPr>
      <w:r>
        <w:t>Dochody z subwencji w pierwszym kwartale 2024 roku zostały zaplanowane na poziomie 71 057 034,00 zł, natomiast zrealizowane w kwocie 25 070 070,00 zł, co stanowi 35,28% realizacji planu, przy czym:</w:t>
      </w:r>
    </w:p>
    <w:p w14:paraId="639AD54D" w14:textId="77777777" w:rsidR="00F036F5" w:rsidRDefault="00000000">
      <w:pPr>
        <w:pStyle w:val="Akapitzlist"/>
        <w:numPr>
          <w:ilvl w:val="0"/>
          <w:numId w:val="26"/>
        </w:numPr>
        <w:jc w:val="both"/>
      </w:pPr>
      <w:r>
        <w:t>dochody z subwencji oświatowej wyniosły 20 873 745,00 zł;</w:t>
      </w:r>
    </w:p>
    <w:p w14:paraId="45F5E82E" w14:textId="77777777" w:rsidR="00F036F5" w:rsidRDefault="00000000">
      <w:pPr>
        <w:pStyle w:val="Akapitzlist"/>
        <w:numPr>
          <w:ilvl w:val="0"/>
          <w:numId w:val="26"/>
        </w:numPr>
        <w:jc w:val="both"/>
      </w:pPr>
      <w:r>
        <w:t>dochody z subwencji wyrównawczej wyniosły 3 482 427,00 zł;</w:t>
      </w:r>
    </w:p>
    <w:p w14:paraId="05D8F432" w14:textId="77777777" w:rsidR="00F036F5" w:rsidRDefault="00000000">
      <w:pPr>
        <w:pStyle w:val="Akapitzlist"/>
        <w:numPr>
          <w:ilvl w:val="0"/>
          <w:numId w:val="26"/>
        </w:numPr>
        <w:jc w:val="both"/>
      </w:pPr>
      <w:r>
        <w:t>dochody z subwencji rozwojowej wyniosły 593 493,00 zł;</w:t>
      </w:r>
    </w:p>
    <w:p w14:paraId="6F1CE094" w14:textId="77777777" w:rsidR="00F036F5" w:rsidRDefault="00000000">
      <w:pPr>
        <w:pStyle w:val="Akapitzlist"/>
        <w:numPr>
          <w:ilvl w:val="0"/>
          <w:numId w:val="26"/>
        </w:numPr>
        <w:jc w:val="both"/>
      </w:pPr>
      <w:r>
        <w:t>dochody z subwencji równoważącej wyniosły 120 405,00 zł.</w:t>
      </w:r>
    </w:p>
    <w:p w14:paraId="41E0735E" w14:textId="77777777" w:rsidR="00F036F5" w:rsidRPr="000E3D4C" w:rsidRDefault="00000000">
      <w:pPr>
        <w:pStyle w:val="SmallSubtitle"/>
        <w:rPr>
          <w:lang w:val="pl-PL"/>
        </w:rPr>
      </w:pPr>
      <w:r w:rsidRPr="000E3D4C">
        <w:rPr>
          <w:lang w:val="pl-PL"/>
        </w:rPr>
        <w:t>Udział w podatkach stanowiących dochód budżetu państwa</w:t>
      </w:r>
    </w:p>
    <w:p w14:paraId="5AB6C2AD" w14:textId="77777777" w:rsidR="00F036F5" w:rsidRDefault="00000000">
      <w:pPr>
        <w:jc w:val="both"/>
      </w:pPr>
      <w:r>
        <w:t>Udziały w podatkach stanowiących dochód budżetu państwa zaplanowane zostały w kwocie 49 709 322,00 zł, zaś zrealizowane w pierwszym kwartale 2024 roku w kwocie 12 427 329,00 zł, co stanowi 25,00% realizacji planu, przy czym:</w:t>
      </w:r>
    </w:p>
    <w:p w14:paraId="30574569" w14:textId="77777777" w:rsidR="00F036F5" w:rsidRDefault="00000000">
      <w:pPr>
        <w:pStyle w:val="Akapitzlist"/>
        <w:numPr>
          <w:ilvl w:val="0"/>
          <w:numId w:val="27"/>
        </w:numPr>
        <w:jc w:val="both"/>
      </w:pPr>
      <w:r>
        <w:t>dochody z tytułu wpływów z podatku od osób prawnych wyniosły 1 184 466,00 zł;</w:t>
      </w:r>
    </w:p>
    <w:p w14:paraId="1F0E8977" w14:textId="77777777" w:rsidR="00F036F5" w:rsidRDefault="00000000">
      <w:pPr>
        <w:pStyle w:val="Akapitzlist"/>
        <w:numPr>
          <w:ilvl w:val="0"/>
          <w:numId w:val="27"/>
        </w:numPr>
        <w:jc w:val="both"/>
      </w:pPr>
      <w:r>
        <w:t>dochody z tytułu wpływów z podatku od osób fizycznych wyniosły 11 242 863,00 zł.</w:t>
      </w:r>
    </w:p>
    <w:p w14:paraId="0BBC562D" w14:textId="77777777" w:rsidR="00F036F5" w:rsidRPr="000E3D4C" w:rsidRDefault="00000000">
      <w:pPr>
        <w:pStyle w:val="SmallSubtitle"/>
        <w:rPr>
          <w:lang w:val="pl-PL"/>
        </w:rPr>
      </w:pPr>
      <w:r w:rsidRPr="000E3D4C">
        <w:rPr>
          <w:lang w:val="pl-PL"/>
        </w:rPr>
        <w:t>Wpływy z podatków i opłat lokalnych</w:t>
      </w:r>
    </w:p>
    <w:p w14:paraId="5342BBD0" w14:textId="77777777" w:rsidR="00F036F5" w:rsidRDefault="00000000">
      <w:pPr>
        <w:pStyle w:val="Nagwek5"/>
        <w:jc w:val="both"/>
      </w:pPr>
      <w:r>
        <w:t>Podatek od nieruchomości</w:t>
      </w:r>
    </w:p>
    <w:p w14:paraId="422BEEA2" w14:textId="77777777" w:rsidR="00F036F5" w:rsidRDefault="00000000">
      <w:pPr>
        <w:jc w:val="both"/>
      </w:pPr>
      <w:r>
        <w:t>Wpływy z podatku od nieruchomości w pierwszym kwartale 2024 roku zostały zrealizowane w kwocie 9 301 745,84 zł, co stanowi 30,22% realizacji planu wynoszącego 30 779 409,00 zł, w tym 4 894 999,17 zł od osób prawnych i 4 406 746,67 zł od osób fizycznych. Zaległości podatkowe na dzień 31 marca 2024 roku wynoszą 3 666 744,30 zł, w tym 2 271 054,93 zł od osób prawnych i 1 395 689,37 zł od osób fizycznych. Z uwagi, iż Gmina miejska w okresie sprawozdawczym nie stosowała maksymalnych stawek wynikających z obwieszczenia MF, skutki obniżenia górnych stawek podatków kształtują się na poziomie 572 121,10 zł.</w:t>
      </w:r>
    </w:p>
    <w:p w14:paraId="2A6E8F0D" w14:textId="77777777" w:rsidR="00F036F5" w:rsidRDefault="00000000">
      <w:pPr>
        <w:pStyle w:val="Nagwek5"/>
        <w:jc w:val="both"/>
      </w:pPr>
      <w:r>
        <w:t>Podatek rolny</w:t>
      </w:r>
    </w:p>
    <w:p w14:paraId="6E72A329" w14:textId="77777777" w:rsidR="00F036F5" w:rsidRDefault="00000000">
      <w:pPr>
        <w:jc w:val="both"/>
      </w:pPr>
      <w:r>
        <w:t>Wpływy z podatku rolnego w pierwszym kwartale 2024 roku zostały zrealizowane w kwocie 56 089,21 zł, co stanowi 70,11% realizacji planu wynoszącego 80 000,00 zł, w tym 4 635,00 zł od osób prawnych i 51 454,21 zł od osób fizycznych. Zaległości podatkowe na dzień 31 marca 2024 roku wynoszą 9 413,08 zł, w tym 396,00 zł od osób prawnych i 9 017,08 zł od osób fizycznych.Z uwagi, iż Gmina miejska podjęła uchwałę w sprawie obniżenia średniej ceny skupu żyta, przyjmowanej jako podstawę obliczenia podatku rolnego, skutki obniżenia górnych stawek podatków kształtują się na poziomie 7 600,83 zł.</w:t>
      </w:r>
    </w:p>
    <w:p w14:paraId="3EEA5A00" w14:textId="77777777" w:rsidR="00F036F5" w:rsidRDefault="00000000">
      <w:pPr>
        <w:pStyle w:val="Nagwek5"/>
        <w:jc w:val="both"/>
      </w:pPr>
      <w:r>
        <w:t>Podatek leśny</w:t>
      </w:r>
    </w:p>
    <w:p w14:paraId="3F8B8073" w14:textId="77777777" w:rsidR="00F036F5" w:rsidRDefault="00000000">
      <w:pPr>
        <w:jc w:val="both"/>
      </w:pPr>
      <w:r>
        <w:t>Wpływy z podatku leśnego w pierwszym kwartale 2024 roku zostały zrealizowane w kwocie 4 358,00 zł, co stanowi 70,63% realizacji planu wynoszącego 6 170,00 zł, w tym 4 196,00 zł od osób prawnych i 162,00 zł od osób fizycznych. Zaległości podatkowe na dzień 31 marca 2024 roku wynoszą 34,00 zł, w tym 10,00 zł od osób prawnych i 24,00 zł od osób fizycznych.</w:t>
      </w:r>
    </w:p>
    <w:p w14:paraId="65CB9C6F" w14:textId="77777777" w:rsidR="00F036F5" w:rsidRDefault="00000000">
      <w:pPr>
        <w:pStyle w:val="Nagwek5"/>
        <w:jc w:val="both"/>
      </w:pPr>
      <w:r>
        <w:lastRenderedPageBreak/>
        <w:t>Podatek od środków transportowych</w:t>
      </w:r>
    </w:p>
    <w:p w14:paraId="4F3D344D" w14:textId="77777777" w:rsidR="00F036F5" w:rsidRDefault="00000000">
      <w:pPr>
        <w:jc w:val="both"/>
      </w:pPr>
      <w:r>
        <w:t>Wpływy z podatku od środków transportowych w pierwszym kwartale 2024 roku zostały zrealizowane w kwocie 799 099,58 zł, co stanowi 44,66% realizacji planu wynoszącego 1 789 354,00 zł, w tym 249 408,08 zł od osób prawnych i 549 691,50 zł od osób fizycznych. Zaległości podatkowe na dzień 31 marca 2024 roku wynoszą 178 819,77 zł, w tym 20 691,52 zł od osób prawnych i 158 128,25 zł od osób fizycznych. Z uwagi, iż Gmina miejska nie stosuje maksymalnych stawek wynikających z obwieszczenia MF, skutki obniżenia górnych stawek podatków za okres sprawozdawczy kształtują się na poziomie 329 890,46 zł.</w:t>
      </w:r>
    </w:p>
    <w:p w14:paraId="7A0C4FFA" w14:textId="77777777" w:rsidR="00F036F5" w:rsidRDefault="00000000">
      <w:pPr>
        <w:pStyle w:val="Nagwek5"/>
        <w:jc w:val="both"/>
      </w:pPr>
      <w:r>
        <w:t>Podatek od działalności gospodarczej osób fizycznych, opłacany w formie karty podatkowej</w:t>
      </w:r>
    </w:p>
    <w:p w14:paraId="45651A23" w14:textId="77777777" w:rsidR="00F036F5" w:rsidRDefault="00000000">
      <w:pPr>
        <w:jc w:val="both"/>
      </w:pPr>
      <w:r>
        <w:t>Wpływy z podatku od działalności gospodarczej osób fizycznych, opłacanego w formie karty podatkowej w pierwszym kwartale 2024 roku zostały zrealizowane w kwocie 72 288,85 zł, co stanowi 24,10% realizacji planu wynoszącego 300 000,00 zł. Zaległości podatkowe na dzień 31 marca 2024 roku wynoszą 8 981,00 zł.</w:t>
      </w:r>
    </w:p>
    <w:p w14:paraId="52A89558" w14:textId="77777777" w:rsidR="00F036F5" w:rsidRDefault="00000000">
      <w:pPr>
        <w:pStyle w:val="Nagwek5"/>
        <w:jc w:val="both"/>
      </w:pPr>
      <w:r>
        <w:t>Podatek od spadków i darowizn</w:t>
      </w:r>
    </w:p>
    <w:p w14:paraId="287628A3" w14:textId="77777777" w:rsidR="00F036F5" w:rsidRDefault="00000000">
      <w:pPr>
        <w:jc w:val="both"/>
      </w:pPr>
      <w:r>
        <w:t>Wpływy z podatku od spadków i darowizn w pierwszym kwartale 2024 roku zostały zrealizowane w kwocie 79 802,36 zł, co stanowi 26,60% realizacji planu wynoszącego 300 000,00 zł. Zaległości podatkowe na dzień 31 marca 2024 roku wynoszą 12 583,49 zł.</w:t>
      </w:r>
    </w:p>
    <w:p w14:paraId="5801BC9F" w14:textId="77777777" w:rsidR="00F036F5" w:rsidRDefault="00000000">
      <w:pPr>
        <w:pStyle w:val="Nagwek5"/>
        <w:jc w:val="both"/>
      </w:pPr>
      <w:r>
        <w:t>Podatek od czynności cywilnoprawnych</w:t>
      </w:r>
    </w:p>
    <w:p w14:paraId="55ADFD92" w14:textId="77777777" w:rsidR="00F036F5" w:rsidRDefault="00000000">
      <w:pPr>
        <w:jc w:val="both"/>
      </w:pPr>
      <w:r>
        <w:t>Wpływy z podatku od czynności cywilnoprawnych w pierwszym kwartale 2024 roku zostały zrealizowane w kwocie 608 549,44 zł, co stanowi 23,86% realizacji planu wynoszącego 2 550 000,00 zł, w tym 11 778,86 zł od osób prawnych i 596 770,58 zł od osób fizycznych. Zaległości podatkowe na dzień 31 marca 2024 roku wynoszą 87 327,18 zł, w tym 80 100,14 zł od osób prawnych i 7 227,04 zł od osób fizycznych.</w:t>
      </w:r>
    </w:p>
    <w:p w14:paraId="0EE5B3C4" w14:textId="77777777" w:rsidR="00F036F5" w:rsidRDefault="00000000">
      <w:pPr>
        <w:pStyle w:val="Nagwek5"/>
        <w:jc w:val="both"/>
      </w:pPr>
      <w:r>
        <w:t>Wpływy z opłaty skarbowej</w:t>
      </w:r>
    </w:p>
    <w:p w14:paraId="1D2E24FF" w14:textId="77777777" w:rsidR="00F036F5" w:rsidRDefault="00000000">
      <w:pPr>
        <w:jc w:val="both"/>
      </w:pPr>
      <w:r>
        <w:t>Wpływy z opłaty skarbowej w pierwszym kwartale 2024 roku zostały zrealizowane w kwocie 150 728,22 zł, co stanowi 23,19% realizacji planu wynoszącego 650 000,00 zł.</w:t>
      </w:r>
    </w:p>
    <w:p w14:paraId="0E4E065C" w14:textId="77777777" w:rsidR="00F036F5" w:rsidRDefault="00000000">
      <w:pPr>
        <w:pStyle w:val="Nagwek5"/>
        <w:jc w:val="both"/>
      </w:pPr>
      <w:r>
        <w:t>Wpływy z opłat lokalnych</w:t>
      </w:r>
    </w:p>
    <w:p w14:paraId="6256A1FB" w14:textId="77777777" w:rsidR="00F036F5" w:rsidRDefault="00000000">
      <w:pPr>
        <w:jc w:val="both"/>
      </w:pPr>
      <w:r>
        <w:t>Wpływy z opłat w 2024 roku zostały zaplanowane na poziomie 15 502 833,00 zł, natomiast zrealizowane w pierwszym kwartale w kwocie 4 612 505,47 zł, co stanowi 29,75% realizacji planu. Najwyższe wpływy z opłat zrealizowane zostały z:</w:t>
      </w:r>
    </w:p>
    <w:p w14:paraId="3090FA9E" w14:textId="77777777" w:rsidR="00F036F5" w:rsidRDefault="00000000">
      <w:pPr>
        <w:pStyle w:val="Akapitzlist"/>
        <w:numPr>
          <w:ilvl w:val="0"/>
          <w:numId w:val="28"/>
        </w:numPr>
        <w:jc w:val="both"/>
      </w:pPr>
      <w:r>
        <w:t>§049 (wpływy z innych lokalnych opłat pobieranych przez jednostki samorządu terytorialnego na podstawie odrębnych ustaw) – 2 828 721,16 zł;</w:t>
      </w:r>
    </w:p>
    <w:p w14:paraId="44EB5079" w14:textId="77777777" w:rsidR="00F036F5" w:rsidRDefault="00000000">
      <w:pPr>
        <w:pStyle w:val="Akapitzlist"/>
        <w:numPr>
          <w:ilvl w:val="0"/>
          <w:numId w:val="28"/>
        </w:numPr>
        <w:jc w:val="both"/>
      </w:pPr>
      <w:r>
        <w:t>§048 (wpływy z opłat za zezwolenia na sprzedaż napojów alkoholowych) – 657 284,00 zł;</w:t>
      </w:r>
    </w:p>
    <w:p w14:paraId="127AF9F7" w14:textId="77777777" w:rsidR="00F036F5" w:rsidRDefault="00000000">
      <w:pPr>
        <w:pStyle w:val="Akapitzlist"/>
        <w:numPr>
          <w:ilvl w:val="0"/>
          <w:numId w:val="28"/>
        </w:numPr>
        <w:jc w:val="both"/>
      </w:pPr>
      <w:r>
        <w:t>§069 (wpływy z różnych opłat) – 476 884,85 zł;</w:t>
      </w:r>
    </w:p>
    <w:p w14:paraId="12D44190" w14:textId="77777777" w:rsidR="00F036F5" w:rsidRDefault="00000000">
      <w:pPr>
        <w:pStyle w:val="Akapitzlist"/>
        <w:numPr>
          <w:ilvl w:val="0"/>
          <w:numId w:val="28"/>
        </w:numPr>
        <w:jc w:val="both"/>
      </w:pPr>
      <w:r>
        <w:t>§062 (wpływy z opłat za zezwolenia, akredytacje oraz opłaty ewidencyjne, w tym opłaty za częstotliwości) – 281 971,68 zł;</w:t>
      </w:r>
    </w:p>
    <w:p w14:paraId="73E3FA11" w14:textId="77777777" w:rsidR="00F036F5" w:rsidRDefault="00000000">
      <w:pPr>
        <w:pStyle w:val="Akapitzlist"/>
        <w:numPr>
          <w:ilvl w:val="0"/>
          <w:numId w:val="28"/>
        </w:numPr>
        <w:jc w:val="both"/>
      </w:pPr>
      <w:r>
        <w:t>§055 (wpływy z opłat z tytułu użytkowania wieczystego nieruchomości) – 170 333,75 zł.</w:t>
      </w:r>
    </w:p>
    <w:p w14:paraId="0BFD4654" w14:textId="77777777" w:rsidR="00F036F5" w:rsidRPr="000E3D4C" w:rsidRDefault="00000000">
      <w:pPr>
        <w:pStyle w:val="SmallSubtitle"/>
        <w:rPr>
          <w:lang w:val="pl-PL"/>
        </w:rPr>
      </w:pPr>
      <w:r w:rsidRPr="000E3D4C">
        <w:rPr>
          <w:lang w:val="pl-PL"/>
        </w:rPr>
        <w:t>Pozostałe dochody bieżące</w:t>
      </w:r>
    </w:p>
    <w:p w14:paraId="0E7FCA94" w14:textId="77777777" w:rsidR="00F036F5" w:rsidRDefault="00000000">
      <w:pPr>
        <w:jc w:val="both"/>
      </w:pPr>
      <w:r>
        <w:t>Pozostałe dochody bieżące to dochody niesklasyfikowane w ramach wcześniejszych grup. W okresie sprawozdawczym przewiduje się wykonanie na poziomie 12 128 811,00 zł. Plan w pierwszym kwartale został wykonany w kwocie 2 671 464,96 zł, co stanowi 22,03% założeń.</w:t>
      </w:r>
    </w:p>
    <w:p w14:paraId="578B3CDF" w14:textId="77777777" w:rsidR="00F036F5" w:rsidRPr="000E3D4C" w:rsidRDefault="00000000">
      <w:pPr>
        <w:pStyle w:val="SmallSubtitle"/>
        <w:rPr>
          <w:lang w:val="pl-PL"/>
        </w:rPr>
      </w:pPr>
      <w:r w:rsidRPr="000E3D4C">
        <w:rPr>
          <w:lang w:val="pl-PL"/>
        </w:rPr>
        <w:t>Dochody z majątku</w:t>
      </w:r>
    </w:p>
    <w:p w14:paraId="13AB1E31" w14:textId="77777777" w:rsidR="00F036F5" w:rsidRDefault="00000000">
      <w:pPr>
        <w:jc w:val="both"/>
      </w:pPr>
      <w:r>
        <w:t>Dochody z majątku zostały zaplanowane na poziomie 5 835 000,00 zł, natomiast zrealizowane w pierwszym kwartale 2024 roku w kwocie 234 090,28 zł, co stanowi 4,01% realizacji planu, przy czym:</w:t>
      </w:r>
    </w:p>
    <w:p w14:paraId="26B1F5D9" w14:textId="77777777" w:rsidR="00F036F5" w:rsidRDefault="00000000">
      <w:pPr>
        <w:pStyle w:val="Akapitzlist"/>
        <w:numPr>
          <w:ilvl w:val="0"/>
          <w:numId w:val="29"/>
        </w:numPr>
        <w:jc w:val="both"/>
      </w:pPr>
      <w:r>
        <w:t>wpłaty z tytułu odpłatnego nabycia prawa własności oraz prawa użytkowania wieczystego nieruchomości wyniosły 161 570,21 zł;</w:t>
      </w:r>
    </w:p>
    <w:p w14:paraId="14315A94" w14:textId="77777777" w:rsidR="00F036F5" w:rsidRDefault="00000000">
      <w:pPr>
        <w:pStyle w:val="Akapitzlist"/>
        <w:numPr>
          <w:ilvl w:val="0"/>
          <w:numId w:val="29"/>
        </w:numPr>
        <w:jc w:val="both"/>
      </w:pPr>
      <w:r>
        <w:t>wpływy z tytułu przekształcenia prawa użytkowania wieczystego w prawo własności wyniosły 70 806,46 zł;</w:t>
      </w:r>
    </w:p>
    <w:p w14:paraId="446CA3F3" w14:textId="77777777" w:rsidR="00F036F5" w:rsidRDefault="00000000">
      <w:pPr>
        <w:pStyle w:val="Akapitzlist"/>
        <w:numPr>
          <w:ilvl w:val="0"/>
          <w:numId w:val="29"/>
        </w:numPr>
        <w:jc w:val="both"/>
      </w:pPr>
      <w:r>
        <w:t>wpływy ze sprzedaży składników majątkowych wyniosły 1 713,61 zł.</w:t>
      </w:r>
    </w:p>
    <w:p w14:paraId="16DA865C" w14:textId="77777777" w:rsidR="00F036F5" w:rsidRPr="000E3D4C" w:rsidRDefault="00000000">
      <w:pPr>
        <w:pStyle w:val="SmallSubtitle"/>
        <w:rPr>
          <w:lang w:val="pl-PL"/>
        </w:rPr>
      </w:pPr>
      <w:r w:rsidRPr="000E3D4C">
        <w:rPr>
          <w:lang w:val="pl-PL"/>
        </w:rPr>
        <w:lastRenderedPageBreak/>
        <w:t>Dotacje i środki na inwestycje</w:t>
      </w:r>
    </w:p>
    <w:p w14:paraId="58612C2C" w14:textId="77777777" w:rsidR="00F036F5" w:rsidRDefault="00000000">
      <w:pPr>
        <w:jc w:val="both"/>
      </w:pPr>
      <w:r>
        <w:t>Dotacje i środki na inwestycje w 2024 roku zostały zaplanowane na poziomie 24 502 304,00 zł, natomiast zrealizowane w pierwszym kwartale w kwocie 4 544 448,23 zł, co stanowi 18,55% realizacji planu.</w:t>
      </w:r>
    </w:p>
    <w:p w14:paraId="22E86908" w14:textId="77777777" w:rsidR="00F036F5" w:rsidRDefault="00000000">
      <w:pPr>
        <w:jc w:val="both"/>
      </w:pPr>
      <w:r>
        <w:t>W pierwszym kwartale Gmina miejska uzyskała dotację i środki na inwestycje w obszarze Gospodarka ściekowa i ochrona wód w ramach działu Gospodarka komunalna i ochrona środowiska w kwocie 4 544 448,23 zł.</w:t>
      </w:r>
    </w:p>
    <w:p w14:paraId="4912119A" w14:textId="77777777" w:rsidR="00F036F5" w:rsidRPr="000E3D4C" w:rsidRDefault="00000000">
      <w:pPr>
        <w:pStyle w:val="SmallSubtitle"/>
        <w:rPr>
          <w:lang w:val="pl-PL"/>
        </w:rPr>
      </w:pPr>
      <w:r w:rsidRPr="000E3D4C">
        <w:rPr>
          <w:lang w:val="pl-PL"/>
        </w:rPr>
        <w:t>Pozostałe dochody majątkowe</w:t>
      </w:r>
    </w:p>
    <w:p w14:paraId="553A158A" w14:textId="77777777" w:rsidR="00F036F5" w:rsidRDefault="00000000">
      <w:pPr>
        <w:jc w:val="both"/>
      </w:pPr>
      <w:r>
        <w:t>Pozostałe dochody majątkowe to dochody niesklasyfikowane w ramach wcześniejszych grup. W okresie sprawozdawczym przewidywano wykonanie na poziomie 0,00 zł. Plan w pierwszym kwartale został wykonany w kwocie 1 000,00 zł.</w:t>
      </w:r>
    </w:p>
    <w:p w14:paraId="30592BBF" w14:textId="77777777" w:rsidR="00F036F5" w:rsidRDefault="00000000">
      <w:pPr>
        <w:jc w:val="both"/>
      </w:pPr>
      <w:r>
        <w:t>W ramach pozostałych dochodów majątkowych sklasyfikowane zostały wpływy ze zwrotów dotacji oraz płatności wykorzystanych niezgodnie z przeznaczeniem lub wykorzystanych z naruszeniem procedur, o których mowa w art. 184 ustawy, pobranych nienależnie lub w nadmiernej wysokości, dotyczące dochodów majątkowych w kwocie 1 000,00 zł.</w:t>
      </w:r>
    </w:p>
    <w:p w14:paraId="67F00557" w14:textId="77777777" w:rsidR="00F036F5" w:rsidRPr="000E3D4C" w:rsidRDefault="00000000">
      <w:pPr>
        <w:pStyle w:val="SmallSubtitle"/>
        <w:rPr>
          <w:lang w:val="pl-PL"/>
        </w:rPr>
      </w:pPr>
      <w:r w:rsidRPr="000E3D4C">
        <w:rPr>
          <w:lang w:val="pl-PL"/>
        </w:rPr>
        <w:t>Wydatki</w:t>
      </w:r>
    </w:p>
    <w:p w14:paraId="7E09DB54" w14:textId="77777777" w:rsidR="00F036F5" w:rsidRDefault="00000000">
      <w:pPr>
        <w:jc w:val="both"/>
      </w:pPr>
      <w:r>
        <w:t>Wydatki budżetu Gminy miejskiej w pierwszym kwartale 2024 roku wyniosły 63 805 848,91 zł, a ich realizacja wyniosła 22,48% planu wynoszącego 283 810 995,02 zł. W pierwszym kwartale 2024 roku wydatki bieżące zostały wykonane na poziomie 62 201 341,59 zł, tj. w 26,80% w stosunku do planu po zmianach wynoszącego 232 064 571,02 zł, z kolei majątkowe zostały wykonane na poziomie 1 604 507,32 zł, tj. w 3,10% w stosunku do planu po zmianach wynoszącego 51 746 424,00 zł.</w:t>
      </w:r>
    </w:p>
    <w:p w14:paraId="5B3027F7" w14:textId="77777777" w:rsidR="00F036F5" w:rsidRDefault="00000000">
      <w:pPr>
        <w:jc w:val="both"/>
      </w:pPr>
      <w:r>
        <w:t>Realizację planu wydatków w pierwszym kwartale 2024 roku przedstawia tabela poniżej.</w:t>
      </w:r>
    </w:p>
    <w:tbl>
      <w:tblPr>
        <w:tblStyle w:val="TabelaCurulisEco"/>
        <w:tblW w:w="5000" w:type="pct"/>
        <w:tblLook w:val="04A0" w:firstRow="1" w:lastRow="0" w:firstColumn="1" w:lastColumn="0" w:noHBand="0" w:noVBand="1"/>
      </w:tblPr>
      <w:tblGrid>
        <w:gridCol w:w="504"/>
        <w:gridCol w:w="2731"/>
        <w:gridCol w:w="1548"/>
        <w:gridCol w:w="1548"/>
        <w:gridCol w:w="1548"/>
        <w:gridCol w:w="1252"/>
        <w:gridCol w:w="733"/>
      </w:tblGrid>
      <w:tr w:rsidR="00F036F5" w14:paraId="72106F00" w14:textId="77777777" w:rsidTr="00F036F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617A11B6" w14:textId="77777777" w:rsidR="00F036F5" w:rsidRDefault="00000000">
            <w:pPr>
              <w:rPr>
                <w:sz w:val="15"/>
                <w:szCs w:val="15"/>
              </w:rPr>
            </w:pPr>
            <w:r>
              <w:rPr>
                <w:sz w:val="15"/>
                <w:szCs w:val="15"/>
              </w:rPr>
              <w:t>Dział</w:t>
            </w:r>
          </w:p>
        </w:tc>
        <w:tc>
          <w:tcPr>
            <w:tcW w:w="1500" w:type="pct"/>
            <w:tcMar>
              <w:top w:w="11" w:type="dxa"/>
              <w:left w:w="85" w:type="dxa"/>
              <w:bottom w:w="6" w:type="dxa"/>
              <w:right w:w="85" w:type="dxa"/>
            </w:tcMar>
          </w:tcPr>
          <w:p w14:paraId="23064AEF"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Wyszczególnienie</w:t>
            </w:r>
          </w:p>
        </w:tc>
        <w:tc>
          <w:tcPr>
            <w:tcW w:w="900" w:type="pct"/>
            <w:tcMar>
              <w:top w:w="11" w:type="dxa"/>
              <w:left w:w="85" w:type="dxa"/>
              <w:bottom w:w="6" w:type="dxa"/>
              <w:right w:w="85" w:type="dxa"/>
            </w:tcMar>
          </w:tcPr>
          <w:p w14:paraId="4375882B"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Plan na 1.01.2024 r. (w zł)</w:t>
            </w:r>
          </w:p>
        </w:tc>
        <w:tc>
          <w:tcPr>
            <w:tcW w:w="900" w:type="pct"/>
            <w:tcMar>
              <w:top w:w="11" w:type="dxa"/>
              <w:left w:w="85" w:type="dxa"/>
              <w:bottom w:w="6" w:type="dxa"/>
              <w:right w:w="85" w:type="dxa"/>
            </w:tcMar>
          </w:tcPr>
          <w:p w14:paraId="0EF5AF31"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Plan na 31.03.2024 r. (w zł)</w:t>
            </w:r>
          </w:p>
        </w:tc>
        <w:tc>
          <w:tcPr>
            <w:tcW w:w="900" w:type="pct"/>
            <w:tcMar>
              <w:top w:w="11" w:type="dxa"/>
              <w:left w:w="85" w:type="dxa"/>
              <w:bottom w:w="6" w:type="dxa"/>
              <w:right w:w="85" w:type="dxa"/>
            </w:tcMar>
          </w:tcPr>
          <w:p w14:paraId="024EAEEA"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Wykonanie (w zł)</w:t>
            </w:r>
          </w:p>
        </w:tc>
        <w:tc>
          <w:tcPr>
            <w:tcW w:w="750" w:type="pct"/>
            <w:tcMar>
              <w:top w:w="11" w:type="dxa"/>
              <w:left w:w="85" w:type="dxa"/>
              <w:bottom w:w="6" w:type="dxa"/>
              <w:right w:w="85" w:type="dxa"/>
            </w:tcMar>
          </w:tcPr>
          <w:p w14:paraId="1F98FEC2"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Realizacja planu po zmianach (w %)</w:t>
            </w:r>
          </w:p>
        </w:tc>
        <w:tc>
          <w:tcPr>
            <w:tcW w:w="250" w:type="pct"/>
            <w:tcMar>
              <w:top w:w="11" w:type="dxa"/>
              <w:left w:w="85" w:type="dxa"/>
              <w:bottom w:w="6" w:type="dxa"/>
              <w:right w:w="85" w:type="dxa"/>
            </w:tcMar>
          </w:tcPr>
          <w:p w14:paraId="4B721159" w14:textId="77777777" w:rsidR="00F036F5" w:rsidRDefault="00000000">
            <w:pPr>
              <w:cnfStyle w:val="100000000000" w:firstRow="1" w:lastRow="0" w:firstColumn="0" w:lastColumn="0" w:oddVBand="0" w:evenVBand="0" w:oddHBand="0" w:evenHBand="0" w:firstRowFirstColumn="0" w:firstRowLastColumn="0" w:lastRowFirstColumn="0" w:lastRowLastColumn="0"/>
              <w:rPr>
                <w:sz w:val="15"/>
                <w:szCs w:val="15"/>
              </w:rPr>
            </w:pPr>
            <w:r>
              <w:rPr>
                <w:sz w:val="15"/>
                <w:szCs w:val="15"/>
              </w:rPr>
              <w:t>Udział (w %)</w:t>
            </w:r>
          </w:p>
        </w:tc>
      </w:tr>
      <w:tr w:rsidR="00F036F5" w14:paraId="200263E3"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7B7F53E0" w14:textId="77777777" w:rsidR="00F036F5" w:rsidRDefault="00000000">
            <w:pPr>
              <w:rPr>
                <w:sz w:val="15"/>
                <w:szCs w:val="15"/>
              </w:rPr>
            </w:pPr>
            <w:r>
              <w:rPr>
                <w:sz w:val="15"/>
                <w:szCs w:val="15"/>
              </w:rPr>
              <w:t>801</w:t>
            </w:r>
          </w:p>
        </w:tc>
        <w:tc>
          <w:tcPr>
            <w:tcW w:w="1500" w:type="pct"/>
            <w:tcMar>
              <w:top w:w="11" w:type="dxa"/>
              <w:left w:w="85" w:type="dxa"/>
              <w:bottom w:w="6" w:type="dxa"/>
              <w:right w:w="85" w:type="dxa"/>
            </w:tcMar>
          </w:tcPr>
          <w:p w14:paraId="5EC1A26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Oświata i wychowanie</w:t>
            </w:r>
          </w:p>
        </w:tc>
        <w:tc>
          <w:tcPr>
            <w:tcW w:w="900" w:type="pct"/>
            <w:tcMar>
              <w:top w:w="11" w:type="dxa"/>
              <w:left w:w="85" w:type="dxa"/>
              <w:bottom w:w="6" w:type="dxa"/>
              <w:right w:w="85" w:type="dxa"/>
            </w:tcMar>
          </w:tcPr>
          <w:p w14:paraId="457FFDC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82 138 965,00</w:t>
            </w:r>
          </w:p>
        </w:tc>
        <w:tc>
          <w:tcPr>
            <w:tcW w:w="900" w:type="pct"/>
            <w:tcMar>
              <w:top w:w="11" w:type="dxa"/>
              <w:left w:w="85" w:type="dxa"/>
              <w:bottom w:w="6" w:type="dxa"/>
              <w:right w:w="85" w:type="dxa"/>
            </w:tcMar>
          </w:tcPr>
          <w:p w14:paraId="5A382D4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95 407 466,00</w:t>
            </w:r>
          </w:p>
        </w:tc>
        <w:tc>
          <w:tcPr>
            <w:tcW w:w="900" w:type="pct"/>
            <w:tcMar>
              <w:top w:w="11" w:type="dxa"/>
              <w:left w:w="85" w:type="dxa"/>
              <w:bottom w:w="6" w:type="dxa"/>
              <w:right w:w="85" w:type="dxa"/>
            </w:tcMar>
          </w:tcPr>
          <w:p w14:paraId="382F245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25 451 473,88</w:t>
            </w:r>
          </w:p>
        </w:tc>
        <w:tc>
          <w:tcPr>
            <w:tcW w:w="750" w:type="pct"/>
            <w:tcMar>
              <w:top w:w="11" w:type="dxa"/>
              <w:left w:w="85" w:type="dxa"/>
              <w:bottom w:w="6" w:type="dxa"/>
              <w:right w:w="85" w:type="dxa"/>
            </w:tcMar>
          </w:tcPr>
          <w:p w14:paraId="0392D68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26,68%</w:t>
            </w:r>
          </w:p>
        </w:tc>
        <w:tc>
          <w:tcPr>
            <w:tcW w:w="250" w:type="pct"/>
            <w:tcMar>
              <w:top w:w="11" w:type="dxa"/>
              <w:left w:w="85" w:type="dxa"/>
              <w:bottom w:w="6" w:type="dxa"/>
              <w:right w:w="85" w:type="dxa"/>
            </w:tcMar>
          </w:tcPr>
          <w:p w14:paraId="333C011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39,89%</w:t>
            </w:r>
          </w:p>
        </w:tc>
      </w:tr>
      <w:tr w:rsidR="00F036F5" w14:paraId="2DC9AA5C"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16BECC77" w14:textId="77777777" w:rsidR="00F036F5" w:rsidRDefault="00000000">
            <w:pPr>
              <w:rPr>
                <w:sz w:val="15"/>
                <w:szCs w:val="15"/>
              </w:rPr>
            </w:pPr>
            <w:r>
              <w:rPr>
                <w:sz w:val="15"/>
                <w:szCs w:val="15"/>
              </w:rPr>
              <w:t>855</w:t>
            </w:r>
          </w:p>
        </w:tc>
        <w:tc>
          <w:tcPr>
            <w:tcW w:w="1500" w:type="pct"/>
            <w:tcMar>
              <w:top w:w="11" w:type="dxa"/>
              <w:left w:w="85" w:type="dxa"/>
              <w:bottom w:w="6" w:type="dxa"/>
              <w:right w:w="85" w:type="dxa"/>
            </w:tcMar>
          </w:tcPr>
          <w:p w14:paraId="30B6B24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Rodzina</w:t>
            </w:r>
          </w:p>
        </w:tc>
        <w:tc>
          <w:tcPr>
            <w:tcW w:w="900" w:type="pct"/>
            <w:tcMar>
              <w:top w:w="11" w:type="dxa"/>
              <w:left w:w="85" w:type="dxa"/>
              <w:bottom w:w="6" w:type="dxa"/>
              <w:right w:w="85" w:type="dxa"/>
            </w:tcMar>
          </w:tcPr>
          <w:p w14:paraId="6BE1CE0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29 872 509,00</w:t>
            </w:r>
          </w:p>
        </w:tc>
        <w:tc>
          <w:tcPr>
            <w:tcW w:w="900" w:type="pct"/>
            <w:tcMar>
              <w:top w:w="11" w:type="dxa"/>
              <w:left w:w="85" w:type="dxa"/>
              <w:bottom w:w="6" w:type="dxa"/>
              <w:right w:w="85" w:type="dxa"/>
            </w:tcMar>
          </w:tcPr>
          <w:p w14:paraId="50A95E3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30 961 730,00</w:t>
            </w:r>
          </w:p>
        </w:tc>
        <w:tc>
          <w:tcPr>
            <w:tcW w:w="900" w:type="pct"/>
            <w:tcMar>
              <w:top w:w="11" w:type="dxa"/>
              <w:left w:w="85" w:type="dxa"/>
              <w:bottom w:w="6" w:type="dxa"/>
              <w:right w:w="85" w:type="dxa"/>
            </w:tcMar>
          </w:tcPr>
          <w:p w14:paraId="0C8F8FF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10 344 022,72</w:t>
            </w:r>
          </w:p>
        </w:tc>
        <w:tc>
          <w:tcPr>
            <w:tcW w:w="750" w:type="pct"/>
            <w:tcMar>
              <w:top w:w="11" w:type="dxa"/>
              <w:left w:w="85" w:type="dxa"/>
              <w:bottom w:w="6" w:type="dxa"/>
              <w:right w:w="85" w:type="dxa"/>
            </w:tcMar>
          </w:tcPr>
          <w:p w14:paraId="7A939EFE"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33,41%</w:t>
            </w:r>
          </w:p>
        </w:tc>
        <w:tc>
          <w:tcPr>
            <w:tcW w:w="250" w:type="pct"/>
            <w:tcMar>
              <w:top w:w="11" w:type="dxa"/>
              <w:left w:w="85" w:type="dxa"/>
              <w:bottom w:w="6" w:type="dxa"/>
              <w:right w:w="85" w:type="dxa"/>
            </w:tcMar>
          </w:tcPr>
          <w:p w14:paraId="0C477E6C"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16,21%</w:t>
            </w:r>
          </w:p>
        </w:tc>
      </w:tr>
      <w:tr w:rsidR="00F036F5" w14:paraId="297C0E4F"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2C995CF2" w14:textId="77777777" w:rsidR="00F036F5" w:rsidRDefault="00000000">
            <w:pPr>
              <w:rPr>
                <w:sz w:val="15"/>
                <w:szCs w:val="15"/>
              </w:rPr>
            </w:pPr>
            <w:r>
              <w:rPr>
                <w:sz w:val="15"/>
                <w:szCs w:val="15"/>
              </w:rPr>
              <w:t>750</w:t>
            </w:r>
          </w:p>
        </w:tc>
        <w:tc>
          <w:tcPr>
            <w:tcW w:w="1500" w:type="pct"/>
            <w:tcMar>
              <w:top w:w="11" w:type="dxa"/>
              <w:left w:w="85" w:type="dxa"/>
              <w:bottom w:w="6" w:type="dxa"/>
              <w:right w:w="85" w:type="dxa"/>
            </w:tcMar>
          </w:tcPr>
          <w:p w14:paraId="128F7B5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Administracja publiczna</w:t>
            </w:r>
          </w:p>
        </w:tc>
        <w:tc>
          <w:tcPr>
            <w:tcW w:w="900" w:type="pct"/>
            <w:tcMar>
              <w:top w:w="11" w:type="dxa"/>
              <w:left w:w="85" w:type="dxa"/>
              <w:bottom w:w="6" w:type="dxa"/>
              <w:right w:w="85" w:type="dxa"/>
            </w:tcMar>
          </w:tcPr>
          <w:p w14:paraId="257C9B9E"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22 686 870,00</w:t>
            </w:r>
          </w:p>
        </w:tc>
        <w:tc>
          <w:tcPr>
            <w:tcW w:w="900" w:type="pct"/>
            <w:tcMar>
              <w:top w:w="11" w:type="dxa"/>
              <w:left w:w="85" w:type="dxa"/>
              <w:bottom w:w="6" w:type="dxa"/>
              <w:right w:w="85" w:type="dxa"/>
            </w:tcMar>
          </w:tcPr>
          <w:p w14:paraId="386AC76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23 015 608,62</w:t>
            </w:r>
          </w:p>
        </w:tc>
        <w:tc>
          <w:tcPr>
            <w:tcW w:w="900" w:type="pct"/>
            <w:tcMar>
              <w:top w:w="11" w:type="dxa"/>
              <w:left w:w="85" w:type="dxa"/>
              <w:bottom w:w="6" w:type="dxa"/>
              <w:right w:w="85" w:type="dxa"/>
            </w:tcMar>
          </w:tcPr>
          <w:p w14:paraId="73708D70"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6 414 268,20</w:t>
            </w:r>
          </w:p>
        </w:tc>
        <w:tc>
          <w:tcPr>
            <w:tcW w:w="750" w:type="pct"/>
            <w:tcMar>
              <w:top w:w="11" w:type="dxa"/>
              <w:left w:w="85" w:type="dxa"/>
              <w:bottom w:w="6" w:type="dxa"/>
              <w:right w:w="85" w:type="dxa"/>
            </w:tcMar>
          </w:tcPr>
          <w:p w14:paraId="3FEEE56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27,87%</w:t>
            </w:r>
          </w:p>
        </w:tc>
        <w:tc>
          <w:tcPr>
            <w:tcW w:w="250" w:type="pct"/>
            <w:tcMar>
              <w:top w:w="11" w:type="dxa"/>
              <w:left w:w="85" w:type="dxa"/>
              <w:bottom w:w="6" w:type="dxa"/>
              <w:right w:w="85" w:type="dxa"/>
            </w:tcMar>
          </w:tcPr>
          <w:p w14:paraId="4AE40AB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10,05%</w:t>
            </w:r>
          </w:p>
        </w:tc>
      </w:tr>
      <w:tr w:rsidR="00F036F5" w14:paraId="037A2B7F"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173DC1E5" w14:textId="77777777" w:rsidR="00F036F5" w:rsidRDefault="00000000">
            <w:pPr>
              <w:rPr>
                <w:sz w:val="15"/>
                <w:szCs w:val="15"/>
              </w:rPr>
            </w:pPr>
            <w:r>
              <w:rPr>
                <w:sz w:val="15"/>
                <w:szCs w:val="15"/>
              </w:rPr>
              <w:t>852</w:t>
            </w:r>
          </w:p>
        </w:tc>
        <w:tc>
          <w:tcPr>
            <w:tcW w:w="1500" w:type="pct"/>
            <w:tcMar>
              <w:top w:w="11" w:type="dxa"/>
              <w:left w:w="85" w:type="dxa"/>
              <w:bottom w:w="6" w:type="dxa"/>
              <w:right w:w="85" w:type="dxa"/>
            </w:tcMar>
          </w:tcPr>
          <w:p w14:paraId="374435D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Pomoc społeczna</w:t>
            </w:r>
          </w:p>
        </w:tc>
        <w:tc>
          <w:tcPr>
            <w:tcW w:w="900" w:type="pct"/>
            <w:tcMar>
              <w:top w:w="11" w:type="dxa"/>
              <w:left w:w="85" w:type="dxa"/>
              <w:bottom w:w="6" w:type="dxa"/>
              <w:right w:w="85" w:type="dxa"/>
            </w:tcMar>
          </w:tcPr>
          <w:p w14:paraId="4ED1AC0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18 211 257,00</w:t>
            </w:r>
          </w:p>
        </w:tc>
        <w:tc>
          <w:tcPr>
            <w:tcW w:w="900" w:type="pct"/>
            <w:tcMar>
              <w:top w:w="11" w:type="dxa"/>
              <w:left w:w="85" w:type="dxa"/>
              <w:bottom w:w="6" w:type="dxa"/>
              <w:right w:w="85" w:type="dxa"/>
            </w:tcMar>
          </w:tcPr>
          <w:p w14:paraId="5CC07FB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19 095 096,40</w:t>
            </w:r>
          </w:p>
        </w:tc>
        <w:tc>
          <w:tcPr>
            <w:tcW w:w="900" w:type="pct"/>
            <w:tcMar>
              <w:top w:w="11" w:type="dxa"/>
              <w:left w:w="85" w:type="dxa"/>
              <w:bottom w:w="6" w:type="dxa"/>
              <w:right w:w="85" w:type="dxa"/>
            </w:tcMar>
          </w:tcPr>
          <w:p w14:paraId="5FF0C27C"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5 665 094,70</w:t>
            </w:r>
          </w:p>
        </w:tc>
        <w:tc>
          <w:tcPr>
            <w:tcW w:w="750" w:type="pct"/>
            <w:tcMar>
              <w:top w:w="11" w:type="dxa"/>
              <w:left w:w="85" w:type="dxa"/>
              <w:bottom w:w="6" w:type="dxa"/>
              <w:right w:w="85" w:type="dxa"/>
            </w:tcMar>
          </w:tcPr>
          <w:p w14:paraId="3261E690"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29,67%</w:t>
            </w:r>
          </w:p>
        </w:tc>
        <w:tc>
          <w:tcPr>
            <w:tcW w:w="250" w:type="pct"/>
            <w:tcMar>
              <w:top w:w="11" w:type="dxa"/>
              <w:left w:w="85" w:type="dxa"/>
              <w:bottom w:w="6" w:type="dxa"/>
              <w:right w:w="85" w:type="dxa"/>
            </w:tcMar>
          </w:tcPr>
          <w:p w14:paraId="70D7022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8,88%</w:t>
            </w:r>
          </w:p>
        </w:tc>
      </w:tr>
      <w:tr w:rsidR="00F036F5" w14:paraId="14A7E6A9"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00E369E7" w14:textId="77777777" w:rsidR="00F036F5" w:rsidRDefault="00000000">
            <w:pPr>
              <w:rPr>
                <w:sz w:val="15"/>
                <w:szCs w:val="15"/>
              </w:rPr>
            </w:pPr>
            <w:r>
              <w:rPr>
                <w:sz w:val="15"/>
                <w:szCs w:val="15"/>
              </w:rPr>
              <w:t>900</w:t>
            </w:r>
          </w:p>
        </w:tc>
        <w:tc>
          <w:tcPr>
            <w:tcW w:w="1500" w:type="pct"/>
            <w:tcMar>
              <w:top w:w="11" w:type="dxa"/>
              <w:left w:w="85" w:type="dxa"/>
              <w:bottom w:w="6" w:type="dxa"/>
              <w:right w:w="85" w:type="dxa"/>
            </w:tcMar>
          </w:tcPr>
          <w:p w14:paraId="2F62705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Gospodarka komunalna i ochrona środowiska</w:t>
            </w:r>
          </w:p>
        </w:tc>
        <w:tc>
          <w:tcPr>
            <w:tcW w:w="900" w:type="pct"/>
            <w:tcMar>
              <w:top w:w="11" w:type="dxa"/>
              <w:left w:w="85" w:type="dxa"/>
              <w:bottom w:w="6" w:type="dxa"/>
              <w:right w:w="85" w:type="dxa"/>
            </w:tcMar>
          </w:tcPr>
          <w:p w14:paraId="6E7BFCD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22 841 399,00</w:t>
            </w:r>
          </w:p>
        </w:tc>
        <w:tc>
          <w:tcPr>
            <w:tcW w:w="900" w:type="pct"/>
            <w:tcMar>
              <w:top w:w="11" w:type="dxa"/>
              <w:left w:w="85" w:type="dxa"/>
              <w:bottom w:w="6" w:type="dxa"/>
              <w:right w:w="85" w:type="dxa"/>
            </w:tcMar>
          </w:tcPr>
          <w:p w14:paraId="259F9D8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24 140 696,20</w:t>
            </w:r>
          </w:p>
        </w:tc>
        <w:tc>
          <w:tcPr>
            <w:tcW w:w="900" w:type="pct"/>
            <w:tcMar>
              <w:top w:w="11" w:type="dxa"/>
              <w:left w:w="85" w:type="dxa"/>
              <w:bottom w:w="6" w:type="dxa"/>
              <w:right w:w="85" w:type="dxa"/>
            </w:tcMar>
          </w:tcPr>
          <w:p w14:paraId="776B4F5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4 512 939,79</w:t>
            </w:r>
          </w:p>
        </w:tc>
        <w:tc>
          <w:tcPr>
            <w:tcW w:w="750" w:type="pct"/>
            <w:tcMar>
              <w:top w:w="11" w:type="dxa"/>
              <w:left w:w="85" w:type="dxa"/>
              <w:bottom w:w="6" w:type="dxa"/>
              <w:right w:w="85" w:type="dxa"/>
            </w:tcMar>
          </w:tcPr>
          <w:p w14:paraId="6ACF636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18,69%</w:t>
            </w:r>
          </w:p>
        </w:tc>
        <w:tc>
          <w:tcPr>
            <w:tcW w:w="250" w:type="pct"/>
            <w:tcMar>
              <w:top w:w="11" w:type="dxa"/>
              <w:left w:w="85" w:type="dxa"/>
              <w:bottom w:w="6" w:type="dxa"/>
              <w:right w:w="85" w:type="dxa"/>
            </w:tcMar>
          </w:tcPr>
          <w:p w14:paraId="3125DD4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7,07%</w:t>
            </w:r>
          </w:p>
        </w:tc>
      </w:tr>
      <w:tr w:rsidR="00F036F5" w14:paraId="7E4FC2F0"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08489566" w14:textId="77777777" w:rsidR="00F036F5" w:rsidRDefault="00000000">
            <w:pPr>
              <w:rPr>
                <w:sz w:val="15"/>
                <w:szCs w:val="15"/>
              </w:rPr>
            </w:pPr>
            <w:r>
              <w:rPr>
                <w:sz w:val="15"/>
                <w:szCs w:val="15"/>
              </w:rPr>
              <w:t>600</w:t>
            </w:r>
          </w:p>
        </w:tc>
        <w:tc>
          <w:tcPr>
            <w:tcW w:w="1500" w:type="pct"/>
            <w:tcMar>
              <w:top w:w="11" w:type="dxa"/>
              <w:left w:w="85" w:type="dxa"/>
              <w:bottom w:w="6" w:type="dxa"/>
              <w:right w:w="85" w:type="dxa"/>
            </w:tcMar>
          </w:tcPr>
          <w:p w14:paraId="63981FC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Transport i łączność</w:t>
            </w:r>
          </w:p>
        </w:tc>
        <w:tc>
          <w:tcPr>
            <w:tcW w:w="900" w:type="pct"/>
            <w:tcMar>
              <w:top w:w="11" w:type="dxa"/>
              <w:left w:w="85" w:type="dxa"/>
              <w:bottom w:w="6" w:type="dxa"/>
              <w:right w:w="85" w:type="dxa"/>
            </w:tcMar>
          </w:tcPr>
          <w:p w14:paraId="5E07F83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39 002 559,00</w:t>
            </w:r>
          </w:p>
        </w:tc>
        <w:tc>
          <w:tcPr>
            <w:tcW w:w="900" w:type="pct"/>
            <w:tcMar>
              <w:top w:w="11" w:type="dxa"/>
              <w:left w:w="85" w:type="dxa"/>
              <w:bottom w:w="6" w:type="dxa"/>
              <w:right w:w="85" w:type="dxa"/>
            </w:tcMar>
          </w:tcPr>
          <w:p w14:paraId="72C98D5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36 081 368,00</w:t>
            </w:r>
          </w:p>
        </w:tc>
        <w:tc>
          <w:tcPr>
            <w:tcW w:w="900" w:type="pct"/>
            <w:tcMar>
              <w:top w:w="11" w:type="dxa"/>
              <w:left w:w="85" w:type="dxa"/>
              <w:bottom w:w="6" w:type="dxa"/>
              <w:right w:w="85" w:type="dxa"/>
            </w:tcMar>
          </w:tcPr>
          <w:p w14:paraId="3941755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3 354 421,36</w:t>
            </w:r>
          </w:p>
        </w:tc>
        <w:tc>
          <w:tcPr>
            <w:tcW w:w="750" w:type="pct"/>
            <w:tcMar>
              <w:top w:w="11" w:type="dxa"/>
              <w:left w:w="85" w:type="dxa"/>
              <w:bottom w:w="6" w:type="dxa"/>
              <w:right w:w="85" w:type="dxa"/>
            </w:tcMar>
          </w:tcPr>
          <w:p w14:paraId="1F3F5FF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9,30%</w:t>
            </w:r>
          </w:p>
        </w:tc>
        <w:tc>
          <w:tcPr>
            <w:tcW w:w="250" w:type="pct"/>
            <w:tcMar>
              <w:top w:w="11" w:type="dxa"/>
              <w:left w:w="85" w:type="dxa"/>
              <w:bottom w:w="6" w:type="dxa"/>
              <w:right w:w="85" w:type="dxa"/>
            </w:tcMar>
          </w:tcPr>
          <w:p w14:paraId="5D50C2D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5,26%</w:t>
            </w:r>
          </w:p>
        </w:tc>
      </w:tr>
      <w:tr w:rsidR="00F036F5" w14:paraId="4BA2D73A"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54F675A9" w14:textId="77777777" w:rsidR="00F036F5" w:rsidRDefault="00000000">
            <w:pPr>
              <w:rPr>
                <w:sz w:val="15"/>
                <w:szCs w:val="15"/>
              </w:rPr>
            </w:pPr>
            <w:r>
              <w:rPr>
                <w:sz w:val="15"/>
                <w:szCs w:val="15"/>
              </w:rPr>
              <w:t>926</w:t>
            </w:r>
          </w:p>
        </w:tc>
        <w:tc>
          <w:tcPr>
            <w:tcW w:w="1500" w:type="pct"/>
            <w:tcMar>
              <w:top w:w="11" w:type="dxa"/>
              <w:left w:w="85" w:type="dxa"/>
              <w:bottom w:w="6" w:type="dxa"/>
              <w:right w:w="85" w:type="dxa"/>
            </w:tcMar>
          </w:tcPr>
          <w:p w14:paraId="0E0CB3A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Kultura fizyczna</w:t>
            </w:r>
          </w:p>
        </w:tc>
        <w:tc>
          <w:tcPr>
            <w:tcW w:w="900" w:type="pct"/>
            <w:tcMar>
              <w:top w:w="11" w:type="dxa"/>
              <w:left w:w="85" w:type="dxa"/>
              <w:bottom w:w="6" w:type="dxa"/>
              <w:right w:w="85" w:type="dxa"/>
            </w:tcMar>
          </w:tcPr>
          <w:p w14:paraId="1853FC2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13 266 105,00</w:t>
            </w:r>
          </w:p>
        </w:tc>
        <w:tc>
          <w:tcPr>
            <w:tcW w:w="900" w:type="pct"/>
            <w:tcMar>
              <w:top w:w="11" w:type="dxa"/>
              <w:left w:w="85" w:type="dxa"/>
              <w:bottom w:w="6" w:type="dxa"/>
              <w:right w:w="85" w:type="dxa"/>
            </w:tcMar>
          </w:tcPr>
          <w:p w14:paraId="68FD6E1C"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13 356 105,00</w:t>
            </w:r>
          </w:p>
        </w:tc>
        <w:tc>
          <w:tcPr>
            <w:tcW w:w="900" w:type="pct"/>
            <w:tcMar>
              <w:top w:w="11" w:type="dxa"/>
              <w:left w:w="85" w:type="dxa"/>
              <w:bottom w:w="6" w:type="dxa"/>
              <w:right w:w="85" w:type="dxa"/>
            </w:tcMar>
          </w:tcPr>
          <w:p w14:paraId="5D76115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2 483 374,29</w:t>
            </w:r>
          </w:p>
        </w:tc>
        <w:tc>
          <w:tcPr>
            <w:tcW w:w="750" w:type="pct"/>
            <w:tcMar>
              <w:top w:w="11" w:type="dxa"/>
              <w:left w:w="85" w:type="dxa"/>
              <w:bottom w:w="6" w:type="dxa"/>
              <w:right w:w="85" w:type="dxa"/>
            </w:tcMar>
          </w:tcPr>
          <w:p w14:paraId="1585444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18,59%</w:t>
            </w:r>
          </w:p>
        </w:tc>
        <w:tc>
          <w:tcPr>
            <w:tcW w:w="250" w:type="pct"/>
            <w:tcMar>
              <w:top w:w="11" w:type="dxa"/>
              <w:left w:w="85" w:type="dxa"/>
              <w:bottom w:w="6" w:type="dxa"/>
              <w:right w:w="85" w:type="dxa"/>
            </w:tcMar>
          </w:tcPr>
          <w:p w14:paraId="349823D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3,89%</w:t>
            </w:r>
          </w:p>
        </w:tc>
      </w:tr>
      <w:tr w:rsidR="00F036F5" w14:paraId="591284D3"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41279ECB" w14:textId="77777777" w:rsidR="00F036F5" w:rsidRDefault="00000000">
            <w:pPr>
              <w:rPr>
                <w:sz w:val="15"/>
                <w:szCs w:val="15"/>
              </w:rPr>
            </w:pPr>
            <w:r>
              <w:rPr>
                <w:sz w:val="15"/>
                <w:szCs w:val="15"/>
              </w:rPr>
              <w:t>921</w:t>
            </w:r>
          </w:p>
        </w:tc>
        <w:tc>
          <w:tcPr>
            <w:tcW w:w="1500" w:type="pct"/>
            <w:tcMar>
              <w:top w:w="11" w:type="dxa"/>
              <w:left w:w="85" w:type="dxa"/>
              <w:bottom w:w="6" w:type="dxa"/>
              <w:right w:w="85" w:type="dxa"/>
            </w:tcMar>
          </w:tcPr>
          <w:p w14:paraId="2803999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Kultura i ochrona dziedzictwa narodowego</w:t>
            </w:r>
          </w:p>
        </w:tc>
        <w:tc>
          <w:tcPr>
            <w:tcW w:w="900" w:type="pct"/>
            <w:tcMar>
              <w:top w:w="11" w:type="dxa"/>
              <w:left w:w="85" w:type="dxa"/>
              <w:bottom w:w="6" w:type="dxa"/>
              <w:right w:w="85" w:type="dxa"/>
            </w:tcMar>
          </w:tcPr>
          <w:p w14:paraId="2D288A3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12 208 400,00</w:t>
            </w:r>
          </w:p>
        </w:tc>
        <w:tc>
          <w:tcPr>
            <w:tcW w:w="900" w:type="pct"/>
            <w:tcMar>
              <w:top w:w="11" w:type="dxa"/>
              <w:left w:w="85" w:type="dxa"/>
              <w:bottom w:w="6" w:type="dxa"/>
              <w:right w:w="85" w:type="dxa"/>
            </w:tcMar>
          </w:tcPr>
          <w:p w14:paraId="074ABDE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12 592 200,00</w:t>
            </w:r>
          </w:p>
        </w:tc>
        <w:tc>
          <w:tcPr>
            <w:tcW w:w="900" w:type="pct"/>
            <w:tcMar>
              <w:top w:w="11" w:type="dxa"/>
              <w:left w:w="85" w:type="dxa"/>
              <w:bottom w:w="6" w:type="dxa"/>
              <w:right w:w="85" w:type="dxa"/>
            </w:tcMar>
          </w:tcPr>
          <w:p w14:paraId="596394D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1 664 300,00</w:t>
            </w:r>
          </w:p>
        </w:tc>
        <w:tc>
          <w:tcPr>
            <w:tcW w:w="750" w:type="pct"/>
            <w:tcMar>
              <w:top w:w="11" w:type="dxa"/>
              <w:left w:w="85" w:type="dxa"/>
              <w:bottom w:w="6" w:type="dxa"/>
              <w:right w:w="85" w:type="dxa"/>
            </w:tcMar>
          </w:tcPr>
          <w:p w14:paraId="5C52D59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13,22%</w:t>
            </w:r>
          </w:p>
        </w:tc>
        <w:tc>
          <w:tcPr>
            <w:tcW w:w="250" w:type="pct"/>
            <w:tcMar>
              <w:top w:w="11" w:type="dxa"/>
              <w:left w:w="85" w:type="dxa"/>
              <w:bottom w:w="6" w:type="dxa"/>
              <w:right w:w="85" w:type="dxa"/>
            </w:tcMar>
          </w:tcPr>
          <w:p w14:paraId="70D93D5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2,61%</w:t>
            </w:r>
          </w:p>
        </w:tc>
      </w:tr>
      <w:tr w:rsidR="00F036F5" w14:paraId="3166B6F9"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367E6D3E" w14:textId="77777777" w:rsidR="00F036F5" w:rsidRDefault="00000000">
            <w:pPr>
              <w:rPr>
                <w:sz w:val="15"/>
                <w:szCs w:val="15"/>
              </w:rPr>
            </w:pPr>
            <w:r>
              <w:rPr>
                <w:sz w:val="15"/>
                <w:szCs w:val="15"/>
              </w:rPr>
              <w:t>757</w:t>
            </w:r>
          </w:p>
        </w:tc>
        <w:tc>
          <w:tcPr>
            <w:tcW w:w="1500" w:type="pct"/>
            <w:tcMar>
              <w:top w:w="11" w:type="dxa"/>
              <w:left w:w="85" w:type="dxa"/>
              <w:bottom w:w="6" w:type="dxa"/>
              <w:right w:w="85" w:type="dxa"/>
            </w:tcMar>
          </w:tcPr>
          <w:p w14:paraId="2B31AE2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Obsługa długu publicznego</w:t>
            </w:r>
          </w:p>
        </w:tc>
        <w:tc>
          <w:tcPr>
            <w:tcW w:w="900" w:type="pct"/>
            <w:tcMar>
              <w:top w:w="11" w:type="dxa"/>
              <w:left w:w="85" w:type="dxa"/>
              <w:bottom w:w="6" w:type="dxa"/>
              <w:right w:w="85" w:type="dxa"/>
            </w:tcMar>
          </w:tcPr>
          <w:p w14:paraId="2BF2E4B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8 500 000,00</w:t>
            </w:r>
          </w:p>
        </w:tc>
        <w:tc>
          <w:tcPr>
            <w:tcW w:w="900" w:type="pct"/>
            <w:tcMar>
              <w:top w:w="11" w:type="dxa"/>
              <w:left w:w="85" w:type="dxa"/>
              <w:bottom w:w="6" w:type="dxa"/>
              <w:right w:w="85" w:type="dxa"/>
            </w:tcMar>
          </w:tcPr>
          <w:p w14:paraId="203CEC1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8 500 000,00</w:t>
            </w:r>
          </w:p>
        </w:tc>
        <w:tc>
          <w:tcPr>
            <w:tcW w:w="900" w:type="pct"/>
            <w:tcMar>
              <w:top w:w="11" w:type="dxa"/>
              <w:left w:w="85" w:type="dxa"/>
              <w:bottom w:w="6" w:type="dxa"/>
              <w:right w:w="85" w:type="dxa"/>
            </w:tcMar>
          </w:tcPr>
          <w:p w14:paraId="5C39FD4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1 573 873,99</w:t>
            </w:r>
          </w:p>
        </w:tc>
        <w:tc>
          <w:tcPr>
            <w:tcW w:w="750" w:type="pct"/>
            <w:tcMar>
              <w:top w:w="11" w:type="dxa"/>
              <w:left w:w="85" w:type="dxa"/>
              <w:bottom w:w="6" w:type="dxa"/>
              <w:right w:w="85" w:type="dxa"/>
            </w:tcMar>
          </w:tcPr>
          <w:p w14:paraId="37B58AB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18,52%</w:t>
            </w:r>
          </w:p>
        </w:tc>
        <w:tc>
          <w:tcPr>
            <w:tcW w:w="250" w:type="pct"/>
            <w:tcMar>
              <w:top w:w="11" w:type="dxa"/>
              <w:left w:w="85" w:type="dxa"/>
              <w:bottom w:w="6" w:type="dxa"/>
              <w:right w:w="85" w:type="dxa"/>
            </w:tcMar>
          </w:tcPr>
          <w:p w14:paraId="4A97821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2,47%</w:t>
            </w:r>
          </w:p>
        </w:tc>
      </w:tr>
      <w:tr w:rsidR="00F036F5" w14:paraId="2A5DB842"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4C8649A5" w14:textId="77777777" w:rsidR="00F036F5" w:rsidRDefault="00000000">
            <w:pPr>
              <w:rPr>
                <w:sz w:val="15"/>
                <w:szCs w:val="15"/>
              </w:rPr>
            </w:pPr>
            <w:r>
              <w:rPr>
                <w:sz w:val="15"/>
                <w:szCs w:val="15"/>
              </w:rPr>
              <w:t>754</w:t>
            </w:r>
          </w:p>
        </w:tc>
        <w:tc>
          <w:tcPr>
            <w:tcW w:w="1500" w:type="pct"/>
            <w:tcMar>
              <w:top w:w="11" w:type="dxa"/>
              <w:left w:w="85" w:type="dxa"/>
              <w:bottom w:w="6" w:type="dxa"/>
              <w:right w:w="85" w:type="dxa"/>
            </w:tcMar>
          </w:tcPr>
          <w:p w14:paraId="56C41AF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Bezpieczeństwo publiczne i ochrona przeciwpożarowa</w:t>
            </w:r>
          </w:p>
        </w:tc>
        <w:tc>
          <w:tcPr>
            <w:tcW w:w="900" w:type="pct"/>
            <w:tcMar>
              <w:top w:w="11" w:type="dxa"/>
              <w:left w:w="85" w:type="dxa"/>
              <w:bottom w:w="6" w:type="dxa"/>
              <w:right w:w="85" w:type="dxa"/>
            </w:tcMar>
          </w:tcPr>
          <w:p w14:paraId="3C4ADE9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2 558 750,00</w:t>
            </w:r>
          </w:p>
        </w:tc>
        <w:tc>
          <w:tcPr>
            <w:tcW w:w="900" w:type="pct"/>
            <w:tcMar>
              <w:top w:w="11" w:type="dxa"/>
              <w:left w:w="85" w:type="dxa"/>
              <w:bottom w:w="6" w:type="dxa"/>
              <w:right w:w="85" w:type="dxa"/>
            </w:tcMar>
          </w:tcPr>
          <w:p w14:paraId="1F49A8B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2 563 750,00</w:t>
            </w:r>
          </w:p>
        </w:tc>
        <w:tc>
          <w:tcPr>
            <w:tcW w:w="900" w:type="pct"/>
            <w:tcMar>
              <w:top w:w="11" w:type="dxa"/>
              <w:left w:w="85" w:type="dxa"/>
              <w:bottom w:w="6" w:type="dxa"/>
              <w:right w:w="85" w:type="dxa"/>
            </w:tcMar>
          </w:tcPr>
          <w:p w14:paraId="67DB0D6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684 832,57</w:t>
            </w:r>
          </w:p>
        </w:tc>
        <w:tc>
          <w:tcPr>
            <w:tcW w:w="750" w:type="pct"/>
            <w:tcMar>
              <w:top w:w="11" w:type="dxa"/>
              <w:left w:w="85" w:type="dxa"/>
              <w:bottom w:w="6" w:type="dxa"/>
              <w:right w:w="85" w:type="dxa"/>
            </w:tcMar>
          </w:tcPr>
          <w:p w14:paraId="599D67AE"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26,71%</w:t>
            </w:r>
          </w:p>
        </w:tc>
        <w:tc>
          <w:tcPr>
            <w:tcW w:w="250" w:type="pct"/>
            <w:tcMar>
              <w:top w:w="11" w:type="dxa"/>
              <w:left w:w="85" w:type="dxa"/>
              <w:bottom w:w="6" w:type="dxa"/>
              <w:right w:w="85" w:type="dxa"/>
            </w:tcMar>
          </w:tcPr>
          <w:p w14:paraId="069F5A7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1,07%</w:t>
            </w:r>
          </w:p>
        </w:tc>
      </w:tr>
      <w:tr w:rsidR="00F036F5" w14:paraId="38FC9A3D"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68728494" w14:textId="77777777" w:rsidR="00F036F5" w:rsidRDefault="00000000">
            <w:pPr>
              <w:rPr>
                <w:sz w:val="15"/>
                <w:szCs w:val="15"/>
              </w:rPr>
            </w:pPr>
            <w:r>
              <w:rPr>
                <w:sz w:val="15"/>
                <w:szCs w:val="15"/>
              </w:rPr>
              <w:t>851</w:t>
            </w:r>
          </w:p>
        </w:tc>
        <w:tc>
          <w:tcPr>
            <w:tcW w:w="1500" w:type="pct"/>
            <w:tcMar>
              <w:top w:w="11" w:type="dxa"/>
              <w:left w:w="85" w:type="dxa"/>
              <w:bottom w:w="6" w:type="dxa"/>
              <w:right w:w="85" w:type="dxa"/>
            </w:tcMar>
          </w:tcPr>
          <w:p w14:paraId="0C55225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Ochrona zdrowia</w:t>
            </w:r>
          </w:p>
        </w:tc>
        <w:tc>
          <w:tcPr>
            <w:tcW w:w="900" w:type="pct"/>
            <w:tcMar>
              <w:top w:w="11" w:type="dxa"/>
              <w:left w:w="85" w:type="dxa"/>
              <w:bottom w:w="6" w:type="dxa"/>
              <w:right w:w="85" w:type="dxa"/>
            </w:tcMar>
          </w:tcPr>
          <w:p w14:paraId="3913581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1 808 300,00</w:t>
            </w:r>
          </w:p>
        </w:tc>
        <w:tc>
          <w:tcPr>
            <w:tcW w:w="900" w:type="pct"/>
            <w:tcMar>
              <w:top w:w="11" w:type="dxa"/>
              <w:left w:w="85" w:type="dxa"/>
              <w:bottom w:w="6" w:type="dxa"/>
              <w:right w:w="85" w:type="dxa"/>
            </w:tcMar>
          </w:tcPr>
          <w:p w14:paraId="3628620C"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2 714 688,80</w:t>
            </w:r>
          </w:p>
        </w:tc>
        <w:tc>
          <w:tcPr>
            <w:tcW w:w="900" w:type="pct"/>
            <w:tcMar>
              <w:top w:w="11" w:type="dxa"/>
              <w:left w:w="85" w:type="dxa"/>
              <w:bottom w:w="6" w:type="dxa"/>
              <w:right w:w="85" w:type="dxa"/>
            </w:tcMar>
          </w:tcPr>
          <w:p w14:paraId="4646367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613 957,74</w:t>
            </w:r>
          </w:p>
        </w:tc>
        <w:tc>
          <w:tcPr>
            <w:tcW w:w="750" w:type="pct"/>
            <w:tcMar>
              <w:top w:w="11" w:type="dxa"/>
              <w:left w:w="85" w:type="dxa"/>
              <w:bottom w:w="6" w:type="dxa"/>
              <w:right w:w="85" w:type="dxa"/>
            </w:tcMar>
          </w:tcPr>
          <w:p w14:paraId="0EA4070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22,62%</w:t>
            </w:r>
          </w:p>
        </w:tc>
        <w:tc>
          <w:tcPr>
            <w:tcW w:w="250" w:type="pct"/>
            <w:tcMar>
              <w:top w:w="11" w:type="dxa"/>
              <w:left w:w="85" w:type="dxa"/>
              <w:bottom w:w="6" w:type="dxa"/>
              <w:right w:w="85" w:type="dxa"/>
            </w:tcMar>
          </w:tcPr>
          <w:p w14:paraId="45ADD62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0,96%</w:t>
            </w:r>
          </w:p>
        </w:tc>
      </w:tr>
      <w:tr w:rsidR="00F036F5" w14:paraId="359B525E"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4DB5DF5D" w14:textId="77777777" w:rsidR="00F036F5" w:rsidRDefault="00000000">
            <w:pPr>
              <w:rPr>
                <w:sz w:val="15"/>
                <w:szCs w:val="15"/>
              </w:rPr>
            </w:pPr>
            <w:r>
              <w:rPr>
                <w:sz w:val="15"/>
                <w:szCs w:val="15"/>
              </w:rPr>
              <w:t>853</w:t>
            </w:r>
          </w:p>
        </w:tc>
        <w:tc>
          <w:tcPr>
            <w:tcW w:w="1500" w:type="pct"/>
            <w:tcMar>
              <w:top w:w="11" w:type="dxa"/>
              <w:left w:w="85" w:type="dxa"/>
              <w:bottom w:w="6" w:type="dxa"/>
              <w:right w:w="85" w:type="dxa"/>
            </w:tcMar>
          </w:tcPr>
          <w:p w14:paraId="5546DE6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Pozostałe zadania w zakresie polityki społecznej</w:t>
            </w:r>
          </w:p>
        </w:tc>
        <w:tc>
          <w:tcPr>
            <w:tcW w:w="900" w:type="pct"/>
            <w:tcMar>
              <w:top w:w="11" w:type="dxa"/>
              <w:left w:w="85" w:type="dxa"/>
              <w:bottom w:w="6" w:type="dxa"/>
              <w:right w:w="85" w:type="dxa"/>
            </w:tcMar>
          </w:tcPr>
          <w:p w14:paraId="1ACE292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c>
          <w:tcPr>
            <w:tcW w:w="900" w:type="pct"/>
            <w:tcMar>
              <w:top w:w="11" w:type="dxa"/>
              <w:left w:w="85" w:type="dxa"/>
              <w:bottom w:w="6" w:type="dxa"/>
              <w:right w:w="85" w:type="dxa"/>
            </w:tcMar>
          </w:tcPr>
          <w:p w14:paraId="720D5E9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902 386,00</w:t>
            </w:r>
          </w:p>
        </w:tc>
        <w:tc>
          <w:tcPr>
            <w:tcW w:w="900" w:type="pct"/>
            <w:tcMar>
              <w:top w:w="11" w:type="dxa"/>
              <w:left w:w="85" w:type="dxa"/>
              <w:bottom w:w="6" w:type="dxa"/>
              <w:right w:w="85" w:type="dxa"/>
            </w:tcMar>
          </w:tcPr>
          <w:p w14:paraId="05F27AC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448 907,95</w:t>
            </w:r>
          </w:p>
        </w:tc>
        <w:tc>
          <w:tcPr>
            <w:tcW w:w="750" w:type="pct"/>
            <w:tcMar>
              <w:top w:w="11" w:type="dxa"/>
              <w:left w:w="85" w:type="dxa"/>
              <w:bottom w:w="6" w:type="dxa"/>
              <w:right w:w="85" w:type="dxa"/>
            </w:tcMar>
          </w:tcPr>
          <w:p w14:paraId="425D1FDA"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49,75%</w:t>
            </w:r>
          </w:p>
        </w:tc>
        <w:tc>
          <w:tcPr>
            <w:tcW w:w="250" w:type="pct"/>
            <w:tcMar>
              <w:top w:w="11" w:type="dxa"/>
              <w:left w:w="85" w:type="dxa"/>
              <w:bottom w:w="6" w:type="dxa"/>
              <w:right w:w="85" w:type="dxa"/>
            </w:tcMar>
          </w:tcPr>
          <w:p w14:paraId="099BB5D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0,70%</w:t>
            </w:r>
          </w:p>
        </w:tc>
      </w:tr>
      <w:tr w:rsidR="00F036F5" w14:paraId="7477217D"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22B3BD83" w14:textId="77777777" w:rsidR="00F036F5" w:rsidRDefault="00000000">
            <w:pPr>
              <w:rPr>
                <w:sz w:val="15"/>
                <w:szCs w:val="15"/>
              </w:rPr>
            </w:pPr>
            <w:r>
              <w:rPr>
                <w:sz w:val="15"/>
                <w:szCs w:val="15"/>
              </w:rPr>
              <w:t>700</w:t>
            </w:r>
          </w:p>
        </w:tc>
        <w:tc>
          <w:tcPr>
            <w:tcW w:w="1500" w:type="pct"/>
            <w:tcMar>
              <w:top w:w="11" w:type="dxa"/>
              <w:left w:w="85" w:type="dxa"/>
              <w:bottom w:w="6" w:type="dxa"/>
              <w:right w:w="85" w:type="dxa"/>
            </w:tcMar>
          </w:tcPr>
          <w:p w14:paraId="647A0A80"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Gospodarka mieszkaniowa</w:t>
            </w:r>
          </w:p>
        </w:tc>
        <w:tc>
          <w:tcPr>
            <w:tcW w:w="900" w:type="pct"/>
            <w:tcMar>
              <w:top w:w="11" w:type="dxa"/>
              <w:left w:w="85" w:type="dxa"/>
              <w:bottom w:w="6" w:type="dxa"/>
              <w:right w:w="85" w:type="dxa"/>
            </w:tcMar>
          </w:tcPr>
          <w:p w14:paraId="38F1CE6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4 853 000,00</w:t>
            </w:r>
          </w:p>
        </w:tc>
        <w:tc>
          <w:tcPr>
            <w:tcW w:w="900" w:type="pct"/>
            <w:tcMar>
              <w:top w:w="11" w:type="dxa"/>
              <w:left w:w="85" w:type="dxa"/>
              <w:bottom w:w="6" w:type="dxa"/>
              <w:right w:w="85" w:type="dxa"/>
            </w:tcMar>
          </w:tcPr>
          <w:p w14:paraId="2F873F1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12 406 115,00</w:t>
            </w:r>
          </w:p>
        </w:tc>
        <w:tc>
          <w:tcPr>
            <w:tcW w:w="900" w:type="pct"/>
            <w:tcMar>
              <w:top w:w="11" w:type="dxa"/>
              <w:left w:w="85" w:type="dxa"/>
              <w:bottom w:w="6" w:type="dxa"/>
              <w:right w:w="85" w:type="dxa"/>
            </w:tcMar>
          </w:tcPr>
          <w:p w14:paraId="728B7B9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406 198,34</w:t>
            </w:r>
          </w:p>
        </w:tc>
        <w:tc>
          <w:tcPr>
            <w:tcW w:w="750" w:type="pct"/>
            <w:tcMar>
              <w:top w:w="11" w:type="dxa"/>
              <w:left w:w="85" w:type="dxa"/>
              <w:bottom w:w="6" w:type="dxa"/>
              <w:right w:w="85" w:type="dxa"/>
            </w:tcMar>
          </w:tcPr>
          <w:p w14:paraId="6C1138D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3,27%</w:t>
            </w:r>
          </w:p>
        </w:tc>
        <w:tc>
          <w:tcPr>
            <w:tcW w:w="250" w:type="pct"/>
            <w:tcMar>
              <w:top w:w="11" w:type="dxa"/>
              <w:left w:w="85" w:type="dxa"/>
              <w:bottom w:w="6" w:type="dxa"/>
              <w:right w:w="85" w:type="dxa"/>
            </w:tcMar>
          </w:tcPr>
          <w:p w14:paraId="6BBE094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0,64%</w:t>
            </w:r>
          </w:p>
        </w:tc>
      </w:tr>
      <w:tr w:rsidR="00F036F5" w14:paraId="6AD2B56F"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194CAEE0" w14:textId="77777777" w:rsidR="00F036F5" w:rsidRDefault="00000000">
            <w:pPr>
              <w:rPr>
                <w:sz w:val="15"/>
                <w:szCs w:val="15"/>
              </w:rPr>
            </w:pPr>
            <w:r>
              <w:rPr>
                <w:sz w:val="15"/>
                <w:szCs w:val="15"/>
              </w:rPr>
              <w:t>710</w:t>
            </w:r>
          </w:p>
        </w:tc>
        <w:tc>
          <w:tcPr>
            <w:tcW w:w="1500" w:type="pct"/>
            <w:tcMar>
              <w:top w:w="11" w:type="dxa"/>
              <w:left w:w="85" w:type="dxa"/>
              <w:bottom w:w="6" w:type="dxa"/>
              <w:right w:w="85" w:type="dxa"/>
            </w:tcMar>
          </w:tcPr>
          <w:p w14:paraId="2DDD819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Działalność usługowa</w:t>
            </w:r>
          </w:p>
        </w:tc>
        <w:tc>
          <w:tcPr>
            <w:tcW w:w="900" w:type="pct"/>
            <w:tcMar>
              <w:top w:w="11" w:type="dxa"/>
              <w:left w:w="85" w:type="dxa"/>
              <w:bottom w:w="6" w:type="dxa"/>
              <w:right w:w="85" w:type="dxa"/>
            </w:tcMar>
          </w:tcPr>
          <w:p w14:paraId="25C1833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860 000,00</w:t>
            </w:r>
          </w:p>
        </w:tc>
        <w:tc>
          <w:tcPr>
            <w:tcW w:w="900" w:type="pct"/>
            <w:tcMar>
              <w:top w:w="11" w:type="dxa"/>
              <w:left w:w="85" w:type="dxa"/>
              <w:bottom w:w="6" w:type="dxa"/>
              <w:right w:w="85" w:type="dxa"/>
            </w:tcMar>
          </w:tcPr>
          <w:p w14:paraId="0BD42E3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873 600,00</w:t>
            </w:r>
          </w:p>
        </w:tc>
        <w:tc>
          <w:tcPr>
            <w:tcW w:w="900" w:type="pct"/>
            <w:tcMar>
              <w:top w:w="11" w:type="dxa"/>
              <w:left w:w="85" w:type="dxa"/>
              <w:bottom w:w="6" w:type="dxa"/>
              <w:right w:w="85" w:type="dxa"/>
            </w:tcMar>
          </w:tcPr>
          <w:p w14:paraId="65FD241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166 026,99</w:t>
            </w:r>
          </w:p>
        </w:tc>
        <w:tc>
          <w:tcPr>
            <w:tcW w:w="750" w:type="pct"/>
            <w:tcMar>
              <w:top w:w="11" w:type="dxa"/>
              <w:left w:w="85" w:type="dxa"/>
              <w:bottom w:w="6" w:type="dxa"/>
              <w:right w:w="85" w:type="dxa"/>
            </w:tcMar>
          </w:tcPr>
          <w:p w14:paraId="3B5F07E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19,00%</w:t>
            </w:r>
          </w:p>
        </w:tc>
        <w:tc>
          <w:tcPr>
            <w:tcW w:w="250" w:type="pct"/>
            <w:tcMar>
              <w:top w:w="11" w:type="dxa"/>
              <w:left w:w="85" w:type="dxa"/>
              <w:bottom w:w="6" w:type="dxa"/>
              <w:right w:w="85" w:type="dxa"/>
            </w:tcMar>
          </w:tcPr>
          <w:p w14:paraId="47BE4E6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0,26%</w:t>
            </w:r>
          </w:p>
        </w:tc>
      </w:tr>
      <w:tr w:rsidR="00F036F5" w14:paraId="5065D18C"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3087525F" w14:textId="77777777" w:rsidR="00F036F5" w:rsidRDefault="00000000">
            <w:pPr>
              <w:rPr>
                <w:sz w:val="15"/>
                <w:szCs w:val="15"/>
              </w:rPr>
            </w:pPr>
            <w:r>
              <w:rPr>
                <w:sz w:val="15"/>
                <w:szCs w:val="15"/>
              </w:rPr>
              <w:t>630</w:t>
            </w:r>
          </w:p>
        </w:tc>
        <w:tc>
          <w:tcPr>
            <w:tcW w:w="1500" w:type="pct"/>
            <w:tcMar>
              <w:top w:w="11" w:type="dxa"/>
              <w:left w:w="85" w:type="dxa"/>
              <w:bottom w:w="6" w:type="dxa"/>
              <w:right w:w="85" w:type="dxa"/>
            </w:tcMar>
          </w:tcPr>
          <w:p w14:paraId="526FC17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Turystyka</w:t>
            </w:r>
          </w:p>
        </w:tc>
        <w:tc>
          <w:tcPr>
            <w:tcW w:w="900" w:type="pct"/>
            <w:tcMar>
              <w:top w:w="11" w:type="dxa"/>
              <w:left w:w="85" w:type="dxa"/>
              <w:bottom w:w="6" w:type="dxa"/>
              <w:right w:w="85" w:type="dxa"/>
            </w:tcMar>
          </w:tcPr>
          <w:p w14:paraId="245E63A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74 000,00</w:t>
            </w:r>
          </w:p>
        </w:tc>
        <w:tc>
          <w:tcPr>
            <w:tcW w:w="900" w:type="pct"/>
            <w:tcMar>
              <w:top w:w="11" w:type="dxa"/>
              <w:left w:w="85" w:type="dxa"/>
              <w:bottom w:w="6" w:type="dxa"/>
              <w:right w:w="85" w:type="dxa"/>
            </w:tcMar>
          </w:tcPr>
          <w:p w14:paraId="5421BA9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74 000,00</w:t>
            </w:r>
          </w:p>
        </w:tc>
        <w:tc>
          <w:tcPr>
            <w:tcW w:w="900" w:type="pct"/>
            <w:tcMar>
              <w:top w:w="11" w:type="dxa"/>
              <w:left w:w="85" w:type="dxa"/>
              <w:bottom w:w="6" w:type="dxa"/>
              <w:right w:w="85" w:type="dxa"/>
            </w:tcMar>
          </w:tcPr>
          <w:p w14:paraId="2CFFD9D2"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11 391,94</w:t>
            </w:r>
          </w:p>
        </w:tc>
        <w:tc>
          <w:tcPr>
            <w:tcW w:w="750" w:type="pct"/>
            <w:tcMar>
              <w:top w:w="11" w:type="dxa"/>
              <w:left w:w="85" w:type="dxa"/>
              <w:bottom w:w="6" w:type="dxa"/>
              <w:right w:w="85" w:type="dxa"/>
            </w:tcMar>
          </w:tcPr>
          <w:p w14:paraId="6E54122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15,39%</w:t>
            </w:r>
          </w:p>
        </w:tc>
        <w:tc>
          <w:tcPr>
            <w:tcW w:w="250" w:type="pct"/>
            <w:tcMar>
              <w:top w:w="11" w:type="dxa"/>
              <w:left w:w="85" w:type="dxa"/>
              <w:bottom w:w="6" w:type="dxa"/>
              <w:right w:w="85" w:type="dxa"/>
            </w:tcMar>
          </w:tcPr>
          <w:p w14:paraId="2A4912D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0,02%</w:t>
            </w:r>
          </w:p>
        </w:tc>
      </w:tr>
      <w:tr w:rsidR="00F036F5" w14:paraId="69DA5F27"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6D24CE36" w14:textId="77777777" w:rsidR="00F036F5" w:rsidRDefault="00000000">
            <w:pPr>
              <w:rPr>
                <w:sz w:val="15"/>
                <w:szCs w:val="15"/>
              </w:rPr>
            </w:pPr>
            <w:r>
              <w:rPr>
                <w:sz w:val="15"/>
                <w:szCs w:val="15"/>
              </w:rPr>
              <w:t>751</w:t>
            </w:r>
          </w:p>
        </w:tc>
        <w:tc>
          <w:tcPr>
            <w:tcW w:w="1500" w:type="pct"/>
            <w:tcMar>
              <w:top w:w="11" w:type="dxa"/>
              <w:left w:w="85" w:type="dxa"/>
              <w:bottom w:w="6" w:type="dxa"/>
              <w:right w:w="85" w:type="dxa"/>
            </w:tcMar>
          </w:tcPr>
          <w:p w14:paraId="3807CC1A"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Urzędy naczelnych organów władzy państwowej, kontroli i ochrony prawa oraz sądownictwa</w:t>
            </w:r>
          </w:p>
        </w:tc>
        <w:tc>
          <w:tcPr>
            <w:tcW w:w="900" w:type="pct"/>
            <w:tcMar>
              <w:top w:w="11" w:type="dxa"/>
              <w:left w:w="85" w:type="dxa"/>
              <w:bottom w:w="6" w:type="dxa"/>
              <w:right w:w="85" w:type="dxa"/>
            </w:tcMar>
          </w:tcPr>
          <w:p w14:paraId="1E2DDD3C"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7 700,00</w:t>
            </w:r>
          </w:p>
        </w:tc>
        <w:tc>
          <w:tcPr>
            <w:tcW w:w="900" w:type="pct"/>
            <w:tcMar>
              <w:top w:w="11" w:type="dxa"/>
              <w:left w:w="85" w:type="dxa"/>
              <w:bottom w:w="6" w:type="dxa"/>
              <w:right w:w="85" w:type="dxa"/>
            </w:tcMar>
          </w:tcPr>
          <w:p w14:paraId="608D0DD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127 085,00</w:t>
            </w:r>
          </w:p>
        </w:tc>
        <w:tc>
          <w:tcPr>
            <w:tcW w:w="900" w:type="pct"/>
            <w:tcMar>
              <w:top w:w="11" w:type="dxa"/>
              <w:left w:w="85" w:type="dxa"/>
              <w:bottom w:w="6" w:type="dxa"/>
              <w:right w:w="85" w:type="dxa"/>
            </w:tcMar>
          </w:tcPr>
          <w:p w14:paraId="1E585F5A"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10 388,09</w:t>
            </w:r>
          </w:p>
        </w:tc>
        <w:tc>
          <w:tcPr>
            <w:tcW w:w="750" w:type="pct"/>
            <w:tcMar>
              <w:top w:w="11" w:type="dxa"/>
              <w:left w:w="85" w:type="dxa"/>
              <w:bottom w:w="6" w:type="dxa"/>
              <w:right w:w="85" w:type="dxa"/>
            </w:tcMar>
          </w:tcPr>
          <w:p w14:paraId="3F4EB14C"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8,17%</w:t>
            </w:r>
          </w:p>
        </w:tc>
        <w:tc>
          <w:tcPr>
            <w:tcW w:w="250" w:type="pct"/>
            <w:tcMar>
              <w:top w:w="11" w:type="dxa"/>
              <w:left w:w="85" w:type="dxa"/>
              <w:bottom w:w="6" w:type="dxa"/>
              <w:right w:w="85" w:type="dxa"/>
            </w:tcMar>
          </w:tcPr>
          <w:p w14:paraId="48F493E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0,02%</w:t>
            </w:r>
          </w:p>
        </w:tc>
      </w:tr>
      <w:tr w:rsidR="00F036F5" w14:paraId="7E16EB8F"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79814663" w14:textId="77777777" w:rsidR="00F036F5" w:rsidRDefault="00000000">
            <w:pPr>
              <w:rPr>
                <w:sz w:val="15"/>
                <w:szCs w:val="15"/>
              </w:rPr>
            </w:pPr>
            <w:r>
              <w:rPr>
                <w:sz w:val="15"/>
                <w:szCs w:val="15"/>
              </w:rPr>
              <w:t>752</w:t>
            </w:r>
          </w:p>
        </w:tc>
        <w:tc>
          <w:tcPr>
            <w:tcW w:w="1500" w:type="pct"/>
            <w:tcMar>
              <w:top w:w="11" w:type="dxa"/>
              <w:left w:w="85" w:type="dxa"/>
              <w:bottom w:w="6" w:type="dxa"/>
              <w:right w:w="85" w:type="dxa"/>
            </w:tcMar>
          </w:tcPr>
          <w:p w14:paraId="6F76416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Obrona narodowa</w:t>
            </w:r>
          </w:p>
        </w:tc>
        <w:tc>
          <w:tcPr>
            <w:tcW w:w="900" w:type="pct"/>
            <w:tcMar>
              <w:top w:w="11" w:type="dxa"/>
              <w:left w:w="85" w:type="dxa"/>
              <w:bottom w:w="6" w:type="dxa"/>
              <w:right w:w="85" w:type="dxa"/>
            </w:tcMar>
          </w:tcPr>
          <w:p w14:paraId="26B79C3B"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5 000,00</w:t>
            </w:r>
          </w:p>
        </w:tc>
        <w:tc>
          <w:tcPr>
            <w:tcW w:w="900" w:type="pct"/>
            <w:tcMar>
              <w:top w:w="11" w:type="dxa"/>
              <w:left w:w="85" w:type="dxa"/>
              <w:bottom w:w="6" w:type="dxa"/>
              <w:right w:w="85" w:type="dxa"/>
            </w:tcMar>
          </w:tcPr>
          <w:p w14:paraId="6CF1437F"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5 000,00</w:t>
            </w:r>
          </w:p>
        </w:tc>
        <w:tc>
          <w:tcPr>
            <w:tcW w:w="900" w:type="pct"/>
            <w:tcMar>
              <w:top w:w="11" w:type="dxa"/>
              <w:left w:w="85" w:type="dxa"/>
              <w:bottom w:w="6" w:type="dxa"/>
              <w:right w:w="85" w:type="dxa"/>
            </w:tcMar>
          </w:tcPr>
          <w:p w14:paraId="7EB7449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360,00</w:t>
            </w:r>
          </w:p>
        </w:tc>
        <w:tc>
          <w:tcPr>
            <w:tcW w:w="750" w:type="pct"/>
            <w:tcMar>
              <w:top w:w="11" w:type="dxa"/>
              <w:left w:w="85" w:type="dxa"/>
              <w:bottom w:w="6" w:type="dxa"/>
              <w:right w:w="85" w:type="dxa"/>
            </w:tcMar>
          </w:tcPr>
          <w:p w14:paraId="57CF2C9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7,20%</w:t>
            </w:r>
          </w:p>
        </w:tc>
        <w:tc>
          <w:tcPr>
            <w:tcW w:w="250" w:type="pct"/>
            <w:tcMar>
              <w:top w:w="11" w:type="dxa"/>
              <w:left w:w="85" w:type="dxa"/>
              <w:bottom w:w="6" w:type="dxa"/>
              <w:right w:w="85" w:type="dxa"/>
            </w:tcMar>
          </w:tcPr>
          <w:p w14:paraId="41EEB80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&lt; 0,01%</w:t>
            </w:r>
          </w:p>
        </w:tc>
      </w:tr>
      <w:tr w:rsidR="00F036F5" w14:paraId="33800C16"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5057D94A" w14:textId="77777777" w:rsidR="00F036F5" w:rsidRDefault="00000000">
            <w:pPr>
              <w:rPr>
                <w:sz w:val="15"/>
                <w:szCs w:val="15"/>
              </w:rPr>
            </w:pPr>
            <w:r>
              <w:rPr>
                <w:sz w:val="15"/>
                <w:szCs w:val="15"/>
              </w:rPr>
              <w:t>010</w:t>
            </w:r>
          </w:p>
        </w:tc>
        <w:tc>
          <w:tcPr>
            <w:tcW w:w="1500" w:type="pct"/>
            <w:tcMar>
              <w:top w:w="11" w:type="dxa"/>
              <w:left w:w="85" w:type="dxa"/>
              <w:bottom w:w="6" w:type="dxa"/>
              <w:right w:w="85" w:type="dxa"/>
            </w:tcMar>
          </w:tcPr>
          <w:p w14:paraId="5537CDF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Rolnictwo i łowiectwo</w:t>
            </w:r>
          </w:p>
        </w:tc>
        <w:tc>
          <w:tcPr>
            <w:tcW w:w="900" w:type="pct"/>
            <w:tcMar>
              <w:top w:w="11" w:type="dxa"/>
              <w:left w:w="85" w:type="dxa"/>
              <w:bottom w:w="6" w:type="dxa"/>
              <w:right w:w="85" w:type="dxa"/>
            </w:tcMar>
          </w:tcPr>
          <w:p w14:paraId="58E54DA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2 500,00</w:t>
            </w:r>
          </w:p>
        </w:tc>
        <w:tc>
          <w:tcPr>
            <w:tcW w:w="900" w:type="pct"/>
            <w:tcMar>
              <w:top w:w="11" w:type="dxa"/>
              <w:left w:w="85" w:type="dxa"/>
              <w:bottom w:w="6" w:type="dxa"/>
              <w:right w:w="85" w:type="dxa"/>
            </w:tcMar>
          </w:tcPr>
          <w:p w14:paraId="6FE0E019"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2 500,00</w:t>
            </w:r>
          </w:p>
        </w:tc>
        <w:tc>
          <w:tcPr>
            <w:tcW w:w="900" w:type="pct"/>
            <w:tcMar>
              <w:top w:w="11" w:type="dxa"/>
              <w:left w:w="85" w:type="dxa"/>
              <w:bottom w:w="6" w:type="dxa"/>
              <w:right w:w="85" w:type="dxa"/>
            </w:tcMar>
          </w:tcPr>
          <w:p w14:paraId="21021685"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16,36</w:t>
            </w:r>
          </w:p>
        </w:tc>
        <w:tc>
          <w:tcPr>
            <w:tcW w:w="750" w:type="pct"/>
            <w:tcMar>
              <w:top w:w="11" w:type="dxa"/>
              <w:left w:w="85" w:type="dxa"/>
              <w:bottom w:w="6" w:type="dxa"/>
              <w:right w:w="85" w:type="dxa"/>
            </w:tcMar>
          </w:tcPr>
          <w:p w14:paraId="6826B478"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0,65%</w:t>
            </w:r>
          </w:p>
        </w:tc>
        <w:tc>
          <w:tcPr>
            <w:tcW w:w="250" w:type="pct"/>
            <w:tcMar>
              <w:top w:w="11" w:type="dxa"/>
              <w:left w:w="85" w:type="dxa"/>
              <w:bottom w:w="6" w:type="dxa"/>
              <w:right w:w="85" w:type="dxa"/>
            </w:tcMar>
          </w:tcPr>
          <w:p w14:paraId="2FE65CBA"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&lt; 0,01%</w:t>
            </w:r>
          </w:p>
        </w:tc>
      </w:tr>
      <w:tr w:rsidR="00F036F5" w14:paraId="7F0C7BF1"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525C6A87" w14:textId="77777777" w:rsidR="00F036F5" w:rsidRDefault="00000000">
            <w:pPr>
              <w:rPr>
                <w:sz w:val="15"/>
                <w:szCs w:val="15"/>
              </w:rPr>
            </w:pPr>
            <w:r>
              <w:rPr>
                <w:sz w:val="15"/>
                <w:szCs w:val="15"/>
              </w:rPr>
              <w:t>758</w:t>
            </w:r>
          </w:p>
        </w:tc>
        <w:tc>
          <w:tcPr>
            <w:tcW w:w="1500" w:type="pct"/>
            <w:tcMar>
              <w:top w:w="11" w:type="dxa"/>
              <w:left w:w="85" w:type="dxa"/>
              <w:bottom w:w="6" w:type="dxa"/>
              <w:right w:w="85" w:type="dxa"/>
            </w:tcMar>
          </w:tcPr>
          <w:p w14:paraId="3E6FA24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Różne rozliczenia</w:t>
            </w:r>
          </w:p>
        </w:tc>
        <w:tc>
          <w:tcPr>
            <w:tcW w:w="900" w:type="pct"/>
            <w:tcMar>
              <w:top w:w="11" w:type="dxa"/>
              <w:left w:w="85" w:type="dxa"/>
              <w:bottom w:w="6" w:type="dxa"/>
              <w:right w:w="85" w:type="dxa"/>
            </w:tcMar>
          </w:tcPr>
          <w:p w14:paraId="5BB11A1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1 000 000,00</w:t>
            </w:r>
          </w:p>
        </w:tc>
        <w:tc>
          <w:tcPr>
            <w:tcW w:w="900" w:type="pct"/>
            <w:tcMar>
              <w:top w:w="11" w:type="dxa"/>
              <w:left w:w="85" w:type="dxa"/>
              <w:bottom w:w="6" w:type="dxa"/>
              <w:right w:w="85" w:type="dxa"/>
            </w:tcMar>
          </w:tcPr>
          <w:p w14:paraId="3443BDB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955 000,00</w:t>
            </w:r>
          </w:p>
        </w:tc>
        <w:tc>
          <w:tcPr>
            <w:tcW w:w="900" w:type="pct"/>
            <w:tcMar>
              <w:top w:w="11" w:type="dxa"/>
              <w:left w:w="85" w:type="dxa"/>
              <w:bottom w:w="6" w:type="dxa"/>
              <w:right w:w="85" w:type="dxa"/>
            </w:tcMar>
          </w:tcPr>
          <w:p w14:paraId="25D15CD6"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c>
          <w:tcPr>
            <w:tcW w:w="750" w:type="pct"/>
            <w:tcMar>
              <w:top w:w="11" w:type="dxa"/>
              <w:left w:w="85" w:type="dxa"/>
              <w:bottom w:w="6" w:type="dxa"/>
              <w:right w:w="85" w:type="dxa"/>
            </w:tcMar>
          </w:tcPr>
          <w:p w14:paraId="6BE34B4A"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c>
          <w:tcPr>
            <w:tcW w:w="250" w:type="pct"/>
            <w:tcMar>
              <w:top w:w="11" w:type="dxa"/>
              <w:left w:w="85" w:type="dxa"/>
              <w:bottom w:w="6" w:type="dxa"/>
              <w:right w:w="85" w:type="dxa"/>
            </w:tcMar>
          </w:tcPr>
          <w:p w14:paraId="09CC560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r>
      <w:tr w:rsidR="00F036F5" w14:paraId="03BC9B97" w14:textId="77777777" w:rsidTr="00F036F5">
        <w:tc>
          <w:tcPr>
            <w:cnfStyle w:val="001000000000" w:firstRow="0" w:lastRow="0" w:firstColumn="1" w:lastColumn="0" w:oddVBand="0" w:evenVBand="0" w:oddHBand="0" w:evenHBand="0" w:firstRowFirstColumn="0" w:firstRowLastColumn="0" w:lastRowFirstColumn="0" w:lastRowLastColumn="0"/>
            <w:tcW w:w="50" w:type="pct"/>
            <w:tcMar>
              <w:top w:w="11" w:type="dxa"/>
              <w:left w:w="85" w:type="dxa"/>
              <w:bottom w:w="6" w:type="dxa"/>
              <w:right w:w="85" w:type="dxa"/>
            </w:tcMar>
          </w:tcPr>
          <w:p w14:paraId="1CFBB800" w14:textId="77777777" w:rsidR="00F036F5" w:rsidRDefault="00000000">
            <w:pPr>
              <w:rPr>
                <w:sz w:val="15"/>
                <w:szCs w:val="15"/>
              </w:rPr>
            </w:pPr>
            <w:r>
              <w:rPr>
                <w:sz w:val="15"/>
                <w:szCs w:val="15"/>
              </w:rPr>
              <w:t>854</w:t>
            </w:r>
          </w:p>
        </w:tc>
        <w:tc>
          <w:tcPr>
            <w:tcW w:w="1500" w:type="pct"/>
            <w:tcMar>
              <w:top w:w="11" w:type="dxa"/>
              <w:left w:w="85" w:type="dxa"/>
              <w:bottom w:w="6" w:type="dxa"/>
              <w:right w:w="85" w:type="dxa"/>
            </w:tcMar>
          </w:tcPr>
          <w:p w14:paraId="7FCE9DC1"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Edukacyjna opieka wychowawcza</w:t>
            </w:r>
          </w:p>
        </w:tc>
        <w:tc>
          <w:tcPr>
            <w:tcW w:w="900" w:type="pct"/>
            <w:tcMar>
              <w:top w:w="11" w:type="dxa"/>
              <w:left w:w="85" w:type="dxa"/>
              <w:bottom w:w="6" w:type="dxa"/>
              <w:right w:w="85" w:type="dxa"/>
            </w:tcMar>
          </w:tcPr>
          <w:p w14:paraId="3486F970"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36 600,00</w:t>
            </w:r>
          </w:p>
        </w:tc>
        <w:tc>
          <w:tcPr>
            <w:tcW w:w="900" w:type="pct"/>
            <w:tcMar>
              <w:top w:w="11" w:type="dxa"/>
              <w:left w:w="85" w:type="dxa"/>
              <w:bottom w:w="6" w:type="dxa"/>
              <w:right w:w="85" w:type="dxa"/>
            </w:tcMar>
          </w:tcPr>
          <w:p w14:paraId="391C0F23"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36 600,00</w:t>
            </w:r>
          </w:p>
        </w:tc>
        <w:tc>
          <w:tcPr>
            <w:tcW w:w="900" w:type="pct"/>
            <w:tcMar>
              <w:top w:w="11" w:type="dxa"/>
              <w:left w:w="85" w:type="dxa"/>
              <w:bottom w:w="6" w:type="dxa"/>
              <w:right w:w="85" w:type="dxa"/>
            </w:tcMar>
          </w:tcPr>
          <w:p w14:paraId="047D7634"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c>
          <w:tcPr>
            <w:tcW w:w="750" w:type="pct"/>
            <w:tcMar>
              <w:top w:w="11" w:type="dxa"/>
              <w:left w:w="85" w:type="dxa"/>
              <w:bottom w:w="6" w:type="dxa"/>
              <w:right w:w="85" w:type="dxa"/>
            </w:tcMar>
          </w:tcPr>
          <w:p w14:paraId="5C2C5D1D"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c>
          <w:tcPr>
            <w:tcW w:w="250" w:type="pct"/>
            <w:tcMar>
              <w:top w:w="11" w:type="dxa"/>
              <w:left w:w="85" w:type="dxa"/>
              <w:bottom w:w="6" w:type="dxa"/>
              <w:right w:w="85" w:type="dxa"/>
            </w:tcMar>
          </w:tcPr>
          <w:p w14:paraId="2CFD1287" w14:textId="77777777" w:rsidR="00F036F5" w:rsidRDefault="00000000">
            <w:pPr>
              <w:cnfStyle w:val="000000000000" w:firstRow="0" w:lastRow="0" w:firstColumn="0" w:lastColumn="0" w:oddVBand="0" w:evenVBand="0" w:oddHBand="0" w:evenHBand="0" w:firstRowFirstColumn="0" w:firstRowLastColumn="0" w:lastRowFirstColumn="0" w:lastRowLastColumn="0"/>
              <w:rPr>
                <w:sz w:val="15"/>
                <w:szCs w:val="15"/>
              </w:rPr>
            </w:pPr>
            <w:r>
              <w:rPr>
                <w:sz w:val="15"/>
                <w:szCs w:val="15"/>
              </w:rPr>
              <w:t>0,00%</w:t>
            </w:r>
          </w:p>
        </w:tc>
      </w:tr>
      <w:tr w:rsidR="00F036F5" w14:paraId="0F008E41" w14:textId="77777777" w:rsidTr="00F036F5">
        <w:tc>
          <w:tcPr>
            <w:cnfStyle w:val="001000000000" w:firstRow="0" w:lastRow="0" w:firstColumn="1" w:lastColumn="0" w:oddVBand="0" w:evenVBand="0" w:oddHBand="0" w:evenHBand="0" w:firstRowFirstColumn="0" w:firstRowLastColumn="0" w:lastRowFirstColumn="0" w:lastRowLastColumn="0"/>
            <w:tcW w:w="50" w:type="pct"/>
            <w:shd w:val="clear" w:color="auto" w:fill="FFFFFF"/>
            <w:tcMar>
              <w:top w:w="11" w:type="dxa"/>
              <w:left w:w="85" w:type="dxa"/>
              <w:bottom w:w="6" w:type="dxa"/>
              <w:right w:w="85" w:type="dxa"/>
            </w:tcMar>
          </w:tcPr>
          <w:p w14:paraId="75A99B76" w14:textId="77777777" w:rsidR="00F036F5" w:rsidRDefault="00F036F5">
            <w:pPr>
              <w:rPr>
                <w:b/>
                <w:bCs/>
                <w:color w:val="000000"/>
                <w:sz w:val="15"/>
                <w:szCs w:val="15"/>
              </w:rPr>
            </w:pPr>
          </w:p>
        </w:tc>
        <w:tc>
          <w:tcPr>
            <w:tcW w:w="1500" w:type="pct"/>
            <w:shd w:val="clear" w:color="auto" w:fill="FFFFFF"/>
            <w:tcMar>
              <w:top w:w="11" w:type="dxa"/>
              <w:left w:w="85" w:type="dxa"/>
              <w:bottom w:w="6" w:type="dxa"/>
              <w:right w:w="85" w:type="dxa"/>
            </w:tcMar>
          </w:tcPr>
          <w:p w14:paraId="06BDF322"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color w:val="000000"/>
                <w:sz w:val="15"/>
                <w:szCs w:val="15"/>
              </w:rPr>
            </w:pPr>
            <w:r>
              <w:rPr>
                <w:b/>
                <w:bCs/>
                <w:color w:val="000000"/>
                <w:sz w:val="15"/>
                <w:szCs w:val="15"/>
              </w:rPr>
              <w:t>RAZEM WYDATKI OGÓŁEM</w:t>
            </w:r>
          </w:p>
        </w:tc>
        <w:tc>
          <w:tcPr>
            <w:tcW w:w="900" w:type="pct"/>
            <w:shd w:val="clear" w:color="auto" w:fill="FFFFFF"/>
            <w:tcMar>
              <w:top w:w="11" w:type="dxa"/>
              <w:left w:w="85" w:type="dxa"/>
              <w:bottom w:w="6" w:type="dxa"/>
              <w:right w:w="85" w:type="dxa"/>
            </w:tcMar>
          </w:tcPr>
          <w:p w14:paraId="40251D2B"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color w:val="000000"/>
                <w:sz w:val="15"/>
                <w:szCs w:val="15"/>
              </w:rPr>
            </w:pPr>
            <w:r>
              <w:rPr>
                <w:b/>
                <w:bCs/>
                <w:color w:val="000000"/>
                <w:sz w:val="15"/>
                <w:szCs w:val="15"/>
              </w:rPr>
              <w:t>259 933 914,00</w:t>
            </w:r>
          </w:p>
        </w:tc>
        <w:tc>
          <w:tcPr>
            <w:tcW w:w="900" w:type="pct"/>
            <w:shd w:val="clear" w:color="auto" w:fill="FFFFFF"/>
            <w:tcMar>
              <w:top w:w="11" w:type="dxa"/>
              <w:left w:w="85" w:type="dxa"/>
              <w:bottom w:w="6" w:type="dxa"/>
              <w:right w:w="85" w:type="dxa"/>
            </w:tcMar>
          </w:tcPr>
          <w:p w14:paraId="6ADCCED7"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color w:val="000000"/>
                <w:sz w:val="15"/>
                <w:szCs w:val="15"/>
              </w:rPr>
            </w:pPr>
            <w:r>
              <w:rPr>
                <w:b/>
                <w:bCs/>
                <w:color w:val="000000"/>
                <w:sz w:val="15"/>
                <w:szCs w:val="15"/>
              </w:rPr>
              <w:t>283 810 995,02</w:t>
            </w:r>
          </w:p>
        </w:tc>
        <w:tc>
          <w:tcPr>
            <w:tcW w:w="900" w:type="pct"/>
            <w:shd w:val="clear" w:color="auto" w:fill="FFFFFF"/>
            <w:tcMar>
              <w:top w:w="11" w:type="dxa"/>
              <w:left w:w="85" w:type="dxa"/>
              <w:bottom w:w="6" w:type="dxa"/>
              <w:right w:w="85" w:type="dxa"/>
            </w:tcMar>
          </w:tcPr>
          <w:p w14:paraId="33F7EE3D"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color w:val="000000"/>
                <w:sz w:val="15"/>
                <w:szCs w:val="15"/>
              </w:rPr>
            </w:pPr>
            <w:r>
              <w:rPr>
                <w:b/>
                <w:bCs/>
                <w:color w:val="000000"/>
                <w:sz w:val="15"/>
                <w:szCs w:val="15"/>
              </w:rPr>
              <w:t>63 805 848,91</w:t>
            </w:r>
          </w:p>
        </w:tc>
        <w:tc>
          <w:tcPr>
            <w:tcW w:w="750" w:type="pct"/>
            <w:shd w:val="clear" w:color="auto" w:fill="FFFFFF"/>
            <w:tcMar>
              <w:top w:w="11" w:type="dxa"/>
              <w:left w:w="85" w:type="dxa"/>
              <w:bottom w:w="6" w:type="dxa"/>
              <w:right w:w="85" w:type="dxa"/>
            </w:tcMar>
          </w:tcPr>
          <w:p w14:paraId="497B75CC"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color w:val="000000"/>
                <w:sz w:val="15"/>
                <w:szCs w:val="15"/>
              </w:rPr>
            </w:pPr>
            <w:r>
              <w:rPr>
                <w:b/>
                <w:bCs/>
                <w:color w:val="000000"/>
                <w:sz w:val="15"/>
                <w:szCs w:val="15"/>
              </w:rPr>
              <w:t>22,48%</w:t>
            </w:r>
          </w:p>
        </w:tc>
        <w:tc>
          <w:tcPr>
            <w:tcW w:w="250" w:type="pct"/>
            <w:shd w:val="clear" w:color="auto" w:fill="FFFFFF"/>
            <w:tcMar>
              <w:top w:w="11" w:type="dxa"/>
              <w:left w:w="85" w:type="dxa"/>
              <w:bottom w:w="6" w:type="dxa"/>
              <w:right w:w="85" w:type="dxa"/>
            </w:tcMar>
          </w:tcPr>
          <w:p w14:paraId="2062F292" w14:textId="77777777" w:rsidR="00F036F5" w:rsidRDefault="00000000">
            <w:pPr>
              <w:cnfStyle w:val="000000000000" w:firstRow="0" w:lastRow="0" w:firstColumn="0" w:lastColumn="0" w:oddVBand="0" w:evenVBand="0" w:oddHBand="0" w:evenHBand="0" w:firstRowFirstColumn="0" w:firstRowLastColumn="0" w:lastRowFirstColumn="0" w:lastRowLastColumn="0"/>
              <w:rPr>
                <w:b/>
                <w:bCs/>
                <w:color w:val="000000"/>
                <w:sz w:val="15"/>
                <w:szCs w:val="15"/>
              </w:rPr>
            </w:pPr>
            <w:r>
              <w:rPr>
                <w:b/>
                <w:bCs/>
                <w:color w:val="000000"/>
                <w:sz w:val="15"/>
                <w:szCs w:val="15"/>
              </w:rPr>
              <w:t>100,00%</w:t>
            </w:r>
          </w:p>
        </w:tc>
      </w:tr>
    </w:tbl>
    <w:p w14:paraId="235E0478" w14:textId="77777777" w:rsidR="00F036F5" w:rsidRDefault="00F036F5">
      <w:pPr>
        <w:jc w:val="both"/>
      </w:pPr>
    </w:p>
    <w:p w14:paraId="68DE338D" w14:textId="77777777" w:rsidR="00F036F5" w:rsidRDefault="00000000">
      <w:pPr>
        <w:jc w:val="both"/>
      </w:pPr>
      <w:r>
        <w:t>Podział wydatków wg rodzajów przedstawia się następująco:</w:t>
      </w:r>
    </w:p>
    <w:p w14:paraId="2F6C9EC3" w14:textId="77777777" w:rsidR="00F036F5" w:rsidRDefault="00000000">
      <w:pPr>
        <w:pStyle w:val="Akapitzlist"/>
        <w:numPr>
          <w:ilvl w:val="0"/>
          <w:numId w:val="30"/>
        </w:numPr>
        <w:jc w:val="both"/>
      </w:pPr>
      <w:r>
        <w:t>wydatki bieżące zostały wykonane na poziomie 62 201 341,59 zł, tj. w 26,80% w stosunku do planu po zmianach wynoszącego 232 064 571,02 zł, z tego:</w:t>
      </w:r>
    </w:p>
    <w:p w14:paraId="75135FF3" w14:textId="77777777" w:rsidR="00F036F5" w:rsidRDefault="00000000">
      <w:pPr>
        <w:pStyle w:val="Akapitzlist"/>
        <w:numPr>
          <w:ilvl w:val="1"/>
          <w:numId w:val="30"/>
        </w:numPr>
        <w:jc w:val="both"/>
      </w:pPr>
      <w:r>
        <w:t xml:space="preserve">wynagrodzenia i składki od nich naliczane – 26 749 166,61 zł, tj. 28,64% planu wynoszącego 93 411 534,62 zł, z tego: wynagrodzenia osobowe nauczycieli 9 379 975,04 zł, wynagrodzenia osobowe pracowników </w:t>
      </w:r>
      <w:r>
        <w:lastRenderedPageBreak/>
        <w:t>7 401 964,82 zł, składki na ubezpieczenia społeczne 4 413 017,78 zł, dodatkowe wynagrodzenie roczne nauczycieli 2 396 098,53 zł, dodatkowe wynagrodzenie roczne 1 978 278,41 zł, wynagrodzenia nauczycieli wypłacane w związku z pomocą obywatelom Ukrainy 387 206,96 zł, składki na Fundusz Pracy oraz Fundusz Solidarnościowy 374 371,44 zł, wynagrodzenia bezosobowe 289 117,80 zł, wynagrodzenia i uposażenia wypłacane w związku z pomocą obywatelom Ukrainy 54 816,07 zł, składki i inne pochodne od wynagrodzeń pracowników wypłacanych w związku z pomocą obywatelom Ukrainy 45 553,61 zł, wpłaty na PPK finansowane przez podmiot zatrudniający 25 113,30 zł, wynagrodzenia agencyjno-prowizyjne 3 652,85 zł;</w:t>
      </w:r>
    </w:p>
    <w:p w14:paraId="0354E790" w14:textId="77777777" w:rsidR="00F036F5" w:rsidRDefault="00000000">
      <w:pPr>
        <w:pStyle w:val="Akapitzlist"/>
        <w:numPr>
          <w:ilvl w:val="1"/>
          <w:numId w:val="30"/>
        </w:numPr>
        <w:jc w:val="both"/>
      </w:pPr>
      <w:r>
        <w:t>świadczenia na rzecz osób fizycznych – 10 696 960,00 zł, tj. 35,82% planu wynoszącego 29 861 016,00 zł, z tego: świadczenia społeczne 9 813 432,60 zł, stypendia różne 317 100,00 zł, świadczenia związane z udzielaniem pomocy obywatelom Ukrainy 314 360,00 zł, różne wydatki na rzecz osób fizycznych  123 886,35 zł, świadczenia społeczne wypłacane obywatelom Ukrainy przebywającym na terytorium RP 90 873,37 zł, wydatki osobowe niezaliczone do wynagrodzeń 37 307,68 zł;</w:t>
      </w:r>
    </w:p>
    <w:p w14:paraId="6B444392" w14:textId="77777777" w:rsidR="00F036F5" w:rsidRDefault="00000000">
      <w:pPr>
        <w:pStyle w:val="Akapitzlist"/>
        <w:numPr>
          <w:ilvl w:val="1"/>
          <w:numId w:val="30"/>
        </w:numPr>
        <w:jc w:val="both"/>
      </w:pPr>
      <w:r>
        <w:t>dotacje – 8 671 301,48 zł, tj. 22,87% planu wynoszącego 37 923 662,00 zł,</w:t>
      </w:r>
    </w:p>
    <w:p w14:paraId="34E12417" w14:textId="77777777" w:rsidR="00F036F5" w:rsidRDefault="00000000">
      <w:pPr>
        <w:pStyle w:val="Akapitzlist"/>
        <w:numPr>
          <w:ilvl w:val="1"/>
          <w:numId w:val="30"/>
        </w:numPr>
        <w:jc w:val="both"/>
      </w:pPr>
      <w:r>
        <w:t>wydatki na programy finansowane z udziałem środków, o których mowa w art. 5 ust. 1 pkt 2, 3 – 46 878,08 zł, tj. 14,21% planu wynoszącego 329 839,00 zł,</w:t>
      </w:r>
    </w:p>
    <w:p w14:paraId="3C324E10" w14:textId="77777777" w:rsidR="00F036F5" w:rsidRDefault="00000000">
      <w:pPr>
        <w:pStyle w:val="Akapitzlist"/>
        <w:numPr>
          <w:ilvl w:val="1"/>
          <w:numId w:val="30"/>
        </w:numPr>
        <w:jc w:val="both"/>
      </w:pPr>
      <w:r>
        <w:t>wydatki na obsługę długu publicznego – 1 573 873,99 zł, tj. 18,52% planu wynoszącego 8 500 000,00 zł,</w:t>
      </w:r>
    </w:p>
    <w:p w14:paraId="70E98F21" w14:textId="77777777" w:rsidR="00F036F5" w:rsidRDefault="00000000">
      <w:pPr>
        <w:pStyle w:val="Akapitzlist"/>
        <w:numPr>
          <w:ilvl w:val="1"/>
          <w:numId w:val="30"/>
        </w:numPr>
        <w:jc w:val="both"/>
      </w:pPr>
      <w:r>
        <w:t>pozostałe wydatki bieżące – 14 463 161,43 zł, tj. 23,31% planu wynoszącego 62 038 519,40 zł, z tego: zakup usług pozostałych 3 768 399,91 zł, dopłaty w spółkach prawa handlowego 3 123 705,42 zł, zakup energii 2 173 510,47 zł, odpisy na zakładowy fundusz świadczeń socjalnych 1 051 760,68 zł, zakup usług przez jednostki samorządu terytorialnego od innych jednostek samorządu terytorialnego 727 642,58 zł, zakup usług remontowych 705 248,52 zł, różne opłaty i składki 631 990,14 zł, zakup środków żywności 541 468,28 zł, zakup materiałów i wyposażenia 473 134,10 zł, opłaty za administrowanie i czynsze za budynki, lokale i pomieszczenia garażowe 305 897,00 zł, podatek od nieruchomości 267 069,00 zł, składki na ubezpieczenie zdrowotne 212 790,23 zł, zakup usług związanych z pomocą obywatelom Ukrainy 159 709,64 zł, szkolenia pracowników niebędących członkami korpusu służby cywilnej  96 217,45 zł, koszty postępowania sądowego i prokuratorskiego 31 841,25 zł, zwrot dotacji oraz płatności wykorzystanych niezgodnie z przeznaczeniem lub wykorzystanych z naruszeniem procedur, o których mowa w art. 184 ustawy, pobranych nienależnie lub w nadmiernej wysokości 30 641,34 zł, opłaty na rzecz budżetów jednostek samorządu terytorialnego 26 663,79 zł, opłaty z tytułu zakupu usług telekomunikacyjnych 25 488,19 zł, podróże służbowe krajowe 21 029,52 zł, pozostałe podatki na rzecz budżetów jednostek samorządu terytorialnego 19 658,00 zł, zakup środków dydaktycznych i książek 18 904,38 zł, kary i odszkodowania wypłacane na rzecz osób fizycznych 17 231,35 zł, podatek od towarów i usług (VAT). 11 322,52 zł, pozostałe wydatki bieżące na zadania związane z pomocą obywatelom Ukrainy 10 910,78 zł, zakup usług zdrowotnych 4 525,00 zł, nagrody konkursowe 2 473,44 zł, odsetki od dotacji oraz płatności: wykorzystanych niezgodnie z przeznaczeniem lub wykorzystanych z naruszeniem procedur, o których mowa w art. 184 ustawy, pobranych nienależnie lub  w nadmiernej wysokości 2 282,09 zł, zwrot niewykorzystanych dotacji oraz płatności 1 441,00 zł, opłaty na rzecz budżetu państwa 189,00 zł, wpłaty gmin na rzecz izb rolniczych w wysokości 2% uzyskanych wpływów z podatku rolnego 16,36 zł;</w:t>
      </w:r>
    </w:p>
    <w:p w14:paraId="4B24E497" w14:textId="77777777" w:rsidR="00F036F5" w:rsidRDefault="00000000">
      <w:pPr>
        <w:pStyle w:val="Akapitzlist"/>
        <w:numPr>
          <w:ilvl w:val="0"/>
          <w:numId w:val="30"/>
        </w:numPr>
        <w:jc w:val="both"/>
      </w:pPr>
      <w:r>
        <w:t>wydatki majątkowe zostały wykonane na poziomie 1 604 507,32 zł, tj. w 3,10% w stosunku do planu po zmianach wynoszącego 51 746 424,00 zł, z tego:</w:t>
      </w:r>
    </w:p>
    <w:p w14:paraId="61625B95" w14:textId="77777777" w:rsidR="00F036F5" w:rsidRDefault="00000000">
      <w:pPr>
        <w:pStyle w:val="Akapitzlist"/>
        <w:numPr>
          <w:ilvl w:val="1"/>
          <w:numId w:val="30"/>
        </w:numPr>
        <w:jc w:val="both"/>
      </w:pPr>
      <w:r>
        <w:t>wydatki inwestycyjne i zakupy inwestycyjne – 1 604 507,32 zł, tj. 3,55% planu wynoszącego 45 246 424,00 zł,</w:t>
      </w:r>
    </w:p>
    <w:p w14:paraId="15603E18" w14:textId="77777777" w:rsidR="00F036F5" w:rsidRDefault="00000000">
      <w:pPr>
        <w:pStyle w:val="Akapitzlist"/>
        <w:numPr>
          <w:ilvl w:val="1"/>
          <w:numId w:val="30"/>
        </w:numPr>
        <w:jc w:val="both"/>
      </w:pPr>
      <w:r>
        <w:t>pozostałe wydatki majątkowe – 0,00 zł, tj. 0,00% planu wynoszącego 6 500 000,00 zł,</w:t>
      </w:r>
    </w:p>
    <w:p w14:paraId="283AE5D4" w14:textId="77777777" w:rsidR="00F036F5" w:rsidRPr="000E3D4C" w:rsidRDefault="00000000">
      <w:pPr>
        <w:pStyle w:val="SmallSubtitle"/>
        <w:rPr>
          <w:lang w:val="pl-PL"/>
        </w:rPr>
      </w:pPr>
      <w:r w:rsidRPr="000E3D4C">
        <w:rPr>
          <w:lang w:val="pl-PL"/>
        </w:rPr>
        <w:t>Przychody i rozchody</w:t>
      </w:r>
    </w:p>
    <w:p w14:paraId="768FB7F3" w14:textId="77777777" w:rsidR="00F036F5" w:rsidRDefault="00000000">
      <w:pPr>
        <w:jc w:val="both"/>
      </w:pPr>
      <w:r>
        <w:t>Przychody w pierwszym kwartale 2024 roku zrealizowano w łącznej kwocie 27 419 830,94 zł, (co stanowi 77,61% planu), w tym:</w:t>
      </w:r>
    </w:p>
    <w:p w14:paraId="0290DF7D" w14:textId="77777777" w:rsidR="00F036F5" w:rsidRDefault="00000000">
      <w:pPr>
        <w:pStyle w:val="Akapitzlist"/>
        <w:numPr>
          <w:ilvl w:val="0"/>
          <w:numId w:val="31"/>
        </w:numPr>
        <w:jc w:val="both"/>
      </w:pPr>
      <w:r>
        <w:t>niewykorzystane środki pieniężne, o których mowa w art. 217 ust. 2 pkt 8 ustawy o finansach publicznych – 1 196 286,00 zł;</w:t>
      </w:r>
    </w:p>
    <w:p w14:paraId="0ADA7BC8" w14:textId="77777777" w:rsidR="00F036F5" w:rsidRDefault="00000000">
      <w:pPr>
        <w:pStyle w:val="Akapitzlist"/>
        <w:numPr>
          <w:ilvl w:val="0"/>
          <w:numId w:val="31"/>
        </w:numPr>
        <w:jc w:val="both"/>
      </w:pPr>
      <w:r>
        <w:t>wolne środki, o których mowa w art. 217 ust. 2 pkt 6 ustawy o finansach publicznych – 26 223 544,94 zł.</w:t>
      </w:r>
    </w:p>
    <w:p w14:paraId="7ACB5211" w14:textId="77777777" w:rsidR="00F036F5" w:rsidRDefault="00000000">
      <w:pPr>
        <w:jc w:val="both"/>
      </w:pPr>
      <w:r>
        <w:t>Rozchody w pierwszym kwartale 2024 roku zrealizowano w łącznej kwocie 2 186 250,00 zł (co stanowi 25,00% planu), w tym:</w:t>
      </w:r>
    </w:p>
    <w:p w14:paraId="65183FAA" w14:textId="77777777" w:rsidR="00F036F5" w:rsidRDefault="00000000">
      <w:pPr>
        <w:pStyle w:val="Akapitzlist"/>
        <w:numPr>
          <w:ilvl w:val="0"/>
          <w:numId w:val="32"/>
        </w:numPr>
        <w:jc w:val="both"/>
      </w:pPr>
      <w:r>
        <w:t>Spłaty kredytów i pożyczek, wykup papierów wartościowych – 2 186 250,00 zł.</w:t>
      </w:r>
    </w:p>
    <w:sectPr w:rsidR="00F036F5">
      <w:footerReference w:type="even" r:id="rId8"/>
      <w:footerReference w:type="default" r:id="rId9"/>
      <w:footerReference w:type="first" r:id="rId10"/>
      <w:pgSz w:w="11906" w:h="16838"/>
      <w:pgMar w:top="992" w:right="1021" w:bottom="992" w:left="1021" w:header="709"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D1768" w14:textId="77777777" w:rsidR="001C51EE" w:rsidRDefault="001C51EE">
      <w:pPr>
        <w:spacing w:after="0" w:line="240" w:lineRule="auto"/>
      </w:pPr>
      <w:r>
        <w:separator/>
      </w:r>
    </w:p>
  </w:endnote>
  <w:endnote w:type="continuationSeparator" w:id="0">
    <w:p w14:paraId="2AFC61BF" w14:textId="77777777" w:rsidR="001C51EE" w:rsidRDefault="001C5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662596"/>
      <w:docPartList>
        <w:docPartGallery w:val="Quick Parts"/>
        <w:docPartUnique/>
      </w:docPartList>
    </w:sdtPr>
    <w:sdtContent>
      <w:p w14:paraId="68E1F40F" w14:textId="77777777" w:rsidR="00F036F5" w:rsidRDefault="00000000">
        <w:pPr>
          <w:pStyle w:val="Stopka"/>
          <w:jc w:val="center"/>
        </w:pPr>
        <w:r>
          <w:fldChar w:fldCharType="begin"/>
        </w:r>
        <w:r>
          <w:instrText>PAGE   \* MERGEFORMAT</w:instrText>
        </w:r>
        <w:r>
          <w:fldChar w:fldCharType="separate"/>
        </w:r>
        <w:r>
          <w:t>#</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1368985"/>
      <w:docPartList>
        <w:docPartGallery w:val="Quick Parts"/>
        <w:docPartUnique/>
      </w:docPartList>
    </w:sdtPr>
    <w:sdtContent>
      <w:p w14:paraId="68D5B801" w14:textId="77777777" w:rsidR="00F036F5" w:rsidRDefault="00000000">
        <w:pPr>
          <w:pStyle w:val="Stopka"/>
          <w:jc w:val="center"/>
        </w:pPr>
        <w:r>
          <w:fldChar w:fldCharType="begin"/>
        </w:r>
        <w:r>
          <w:instrText>PAGE   \* MERGEFORMAT</w:instrText>
        </w:r>
        <w:r>
          <w:fldChar w:fldCharType="separate"/>
        </w:r>
        <w:r>
          <w:t>#</w:t>
        </w:r>
        <w:r>
          <w:fldChar w:fldCharType="end"/>
        </w:r>
      </w:p>
    </w:sdtContent>
  </w:sdt>
  <w:p w14:paraId="6A00DF51" w14:textId="77777777" w:rsidR="00F036F5" w:rsidRDefault="00F036F5">
    <w:pPr>
      <w:pStyle w:val="Stopka"/>
      <w:ind w:left="-567"/>
      <w:jc w:val="right"/>
      <w:rPr>
        <w:vanish/>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9FD50" w14:textId="77777777" w:rsidR="00F036F5" w:rsidRDefault="00F036F5">
    <w:pPr>
      <w:pStyle w:val="Stopka"/>
      <w:ind w:left="-567"/>
      <w:rPr>
        <w:vanis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F4377" w14:textId="77777777" w:rsidR="001C51EE" w:rsidRDefault="001C51EE">
      <w:pPr>
        <w:spacing w:after="0" w:line="240" w:lineRule="auto"/>
      </w:pPr>
      <w:r>
        <w:separator/>
      </w:r>
    </w:p>
  </w:footnote>
  <w:footnote w:type="continuationSeparator" w:id="0">
    <w:p w14:paraId="68CBC0CE" w14:textId="77777777" w:rsidR="001C51EE" w:rsidRDefault="001C5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D676B"/>
    <w:multiLevelType w:val="multilevel"/>
    <w:tmpl w:val="746A91AE"/>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622296"/>
    <w:multiLevelType w:val="multilevel"/>
    <w:tmpl w:val="1456AD34"/>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2" w15:restartNumberingAfterBreak="0">
    <w:nsid w:val="092E191F"/>
    <w:multiLevelType w:val="multilevel"/>
    <w:tmpl w:val="6548FD58"/>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3" w15:restartNumberingAfterBreak="0">
    <w:nsid w:val="0B223B36"/>
    <w:multiLevelType w:val="hybridMultilevel"/>
    <w:tmpl w:val="A3B0229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3239D40"/>
    <w:multiLevelType w:val="multilevel"/>
    <w:tmpl w:val="BA0E40C4"/>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5" w15:restartNumberingAfterBreak="0">
    <w:nsid w:val="17083995"/>
    <w:multiLevelType w:val="hybridMultilevel"/>
    <w:tmpl w:val="29C255A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251982"/>
    <w:multiLevelType w:val="hybridMultilevel"/>
    <w:tmpl w:val="40A4294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3249D"/>
    <w:multiLevelType w:val="hybridMultilevel"/>
    <w:tmpl w:val="CD98E91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B17914"/>
    <w:multiLevelType w:val="multilevel"/>
    <w:tmpl w:val="E710D288"/>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18DCEBAC"/>
    <w:multiLevelType w:val="multilevel"/>
    <w:tmpl w:val="AE0484EE"/>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10" w15:restartNumberingAfterBreak="0">
    <w:nsid w:val="1B43031C"/>
    <w:multiLevelType w:val="hybridMultilevel"/>
    <w:tmpl w:val="482E84E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BBB9B3D"/>
    <w:multiLevelType w:val="multilevel"/>
    <w:tmpl w:val="803E64B0"/>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12" w15:restartNumberingAfterBreak="0">
    <w:nsid w:val="1C344B4D"/>
    <w:multiLevelType w:val="multilevel"/>
    <w:tmpl w:val="3F028FC6"/>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13" w15:restartNumberingAfterBreak="0">
    <w:nsid w:val="1EE93127"/>
    <w:multiLevelType w:val="multilevel"/>
    <w:tmpl w:val="B17EE1AC"/>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14" w15:restartNumberingAfterBreak="0">
    <w:nsid w:val="27483732"/>
    <w:multiLevelType w:val="hybridMultilevel"/>
    <w:tmpl w:val="346A547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B1B19F2"/>
    <w:multiLevelType w:val="multilevel"/>
    <w:tmpl w:val="7292D5E0"/>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16" w15:restartNumberingAfterBreak="0">
    <w:nsid w:val="433B7BB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53D6AC4"/>
    <w:multiLevelType w:val="multilevel"/>
    <w:tmpl w:val="130C0DEE"/>
    <w:lvl w:ilvl="0">
      <w:start w:val="2"/>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57C677D"/>
    <w:multiLevelType w:val="hybridMultilevel"/>
    <w:tmpl w:val="6E6239FA"/>
    <w:lvl w:ilvl="0" w:tplc="CBD8A3CE">
      <w:start w:val="1"/>
      <w:numFmt w:val="decimal"/>
      <w:lvlText w:val="%1."/>
      <w:lvlJc w:val="left"/>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AD10A42"/>
    <w:multiLevelType w:val="multilevel"/>
    <w:tmpl w:val="1D3CD4E0"/>
    <w:lvl w:ilvl="0">
      <w:start w:val="1"/>
      <w:numFmt w:val="decimal"/>
      <w:pStyle w:val="Nagwek1"/>
      <w:lvlText w:val="%1."/>
      <w:lvlJc w:val="left"/>
      <w:pPr>
        <w:ind w:left="0" w:firstLine="0"/>
      </w:pPr>
      <w:rPr>
        <w:rFonts w:hint="default"/>
      </w:rPr>
    </w:lvl>
    <w:lvl w:ilvl="1">
      <w:start w:val="1"/>
      <w:numFmt w:val="decimal"/>
      <w:pStyle w:val="Nagwek2"/>
      <w:isLgl/>
      <w:lvlText w:val="%1.%2."/>
      <w:lvlJc w:val="left"/>
      <w:pPr>
        <w:ind w:left="0" w:firstLine="0"/>
      </w:pPr>
      <w:rPr>
        <w:rFonts w:hint="default"/>
      </w:rPr>
    </w:lvl>
    <w:lvl w:ilvl="2">
      <w:start w:val="1"/>
      <w:numFmt w:val="decimal"/>
      <w:pStyle w:val="Nagwek3"/>
      <w:isLgl/>
      <w:lvlText w:val="%1.%2.%3."/>
      <w:lvlJc w:val="left"/>
      <w:pPr>
        <w:ind w:left="0" w:firstLine="0"/>
      </w:pPr>
    </w:lvl>
    <w:lvl w:ilvl="3">
      <w:start w:val="1"/>
      <w:numFmt w:val="decimal"/>
      <w:pStyle w:val="Styl3"/>
      <w:isLgl/>
      <w:lvlText w:val="%1.%2.%3.%4."/>
      <w:lvlJc w:val="left"/>
      <w:pPr>
        <w:ind w:left="0" w:firstLine="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4D71C8FF"/>
    <w:multiLevelType w:val="multilevel"/>
    <w:tmpl w:val="7AB25BC8"/>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21" w15:restartNumberingAfterBreak="0">
    <w:nsid w:val="557E19A3"/>
    <w:multiLevelType w:val="multilevel"/>
    <w:tmpl w:val="8B5A78CC"/>
    <w:lvl w:ilvl="0">
      <w:start w:val="2"/>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5E40942D"/>
    <w:multiLevelType w:val="multilevel"/>
    <w:tmpl w:val="04EAE42C"/>
    <w:lvl w:ilvl="0">
      <w:start w:val="1"/>
      <w:numFmt w:val="bullet"/>
      <w:lvlText w:val="●"/>
      <w:lvlJc w:val="left"/>
      <w:pPr>
        <w:ind w:left="600" w:hanging="360"/>
      </w:pPr>
    </w:lvl>
    <w:lvl w:ilvl="1">
      <w:start w:val="1"/>
      <w:numFmt w:val="bullet"/>
      <w:lvlText w:val="○"/>
      <w:lvlJc w:val="left"/>
      <w:pPr>
        <w:ind w:left="1200" w:hanging="360"/>
      </w:pPr>
    </w:lvl>
    <w:lvl w:ilvl="2">
      <w:start w:val="1"/>
      <w:numFmt w:val="bullet"/>
      <w:lvlText w:val="⁃"/>
      <w:lvlJc w:val="left"/>
      <w:pPr>
        <w:ind w:left="1800" w:hanging="360"/>
      </w:pPr>
    </w:lvl>
    <w:lvl w:ilvl="3">
      <w:start w:val="1"/>
      <w:numFmt w:val="bullet"/>
      <w:lvlText w:val="%1."/>
      <w:lvlJc w:val="left"/>
    </w:lvl>
    <w:lvl w:ilvl="4">
      <w:start w:val="1"/>
      <w:numFmt w:val="bullet"/>
      <w:lvlText w:val="%1."/>
      <w:lvlJc w:val="left"/>
    </w:lvl>
    <w:lvl w:ilvl="5">
      <w:start w:val="1"/>
      <w:numFmt w:val="bullet"/>
      <w:lvlText w:val="%1."/>
      <w:lvlJc w:val="left"/>
    </w:lvl>
    <w:lvl w:ilvl="6">
      <w:start w:val="1"/>
      <w:numFmt w:val="bullet"/>
      <w:lvlText w:val="%1."/>
      <w:lvlJc w:val="left"/>
    </w:lvl>
    <w:lvl w:ilvl="7">
      <w:start w:val="1"/>
      <w:numFmt w:val="bullet"/>
      <w:lvlText w:val="%1."/>
      <w:lvlJc w:val="left"/>
    </w:lvl>
    <w:lvl w:ilvl="8">
      <w:start w:val="1"/>
      <w:numFmt w:val="bullet"/>
      <w:lvlText w:val="%1."/>
      <w:lvlJc w:val="left"/>
    </w:lvl>
  </w:abstractNum>
  <w:abstractNum w:abstractNumId="23" w15:restartNumberingAfterBreak="0">
    <w:nsid w:val="63DB04CC"/>
    <w:multiLevelType w:val="hybridMultilevel"/>
    <w:tmpl w:val="744021B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72718CE"/>
    <w:multiLevelType w:val="multilevel"/>
    <w:tmpl w:val="CF267312"/>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E71DAD"/>
    <w:multiLevelType w:val="hybridMultilevel"/>
    <w:tmpl w:val="DF7C3FE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1A64E3E"/>
    <w:multiLevelType w:val="multilevel"/>
    <w:tmpl w:val="B06A4A1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D474CF"/>
    <w:multiLevelType w:val="multilevel"/>
    <w:tmpl w:val="CC7E72E6"/>
    <w:lvl w:ilvl="0">
      <w:start w:val="2"/>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620303970">
    <w:abstractNumId w:val="7"/>
  </w:num>
  <w:num w:numId="2" w16cid:durableId="677733393">
    <w:abstractNumId w:val="25"/>
  </w:num>
  <w:num w:numId="3" w16cid:durableId="838542389">
    <w:abstractNumId w:val="5"/>
  </w:num>
  <w:num w:numId="4" w16cid:durableId="901982501">
    <w:abstractNumId w:val="26"/>
  </w:num>
  <w:num w:numId="5" w16cid:durableId="170989704">
    <w:abstractNumId w:val="0"/>
  </w:num>
  <w:num w:numId="6" w16cid:durableId="16628099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5566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7370191">
    <w:abstractNumId w:val="8"/>
  </w:num>
  <w:num w:numId="9" w16cid:durableId="295255513">
    <w:abstractNumId w:val="21"/>
  </w:num>
  <w:num w:numId="10" w16cid:durableId="510337437">
    <w:abstractNumId w:val="27"/>
  </w:num>
  <w:num w:numId="11" w16cid:durableId="474301766">
    <w:abstractNumId w:val="2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257202">
    <w:abstractNumId w:val="2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7647435">
    <w:abstractNumId w:val="6"/>
  </w:num>
  <w:num w:numId="14" w16cid:durableId="209462818">
    <w:abstractNumId w:val="3"/>
  </w:num>
  <w:num w:numId="15" w16cid:durableId="2104063780">
    <w:abstractNumId w:val="10"/>
  </w:num>
  <w:num w:numId="16" w16cid:durableId="1472332250">
    <w:abstractNumId w:val="18"/>
  </w:num>
  <w:num w:numId="17" w16cid:durableId="947470642">
    <w:abstractNumId w:val="19"/>
  </w:num>
  <w:num w:numId="18" w16cid:durableId="331177198">
    <w:abstractNumId w:val="16"/>
  </w:num>
  <w:num w:numId="19" w16cid:durableId="437137078">
    <w:abstractNumId w:val="14"/>
  </w:num>
  <w:num w:numId="20" w16cid:durableId="2125004978">
    <w:abstractNumId w:val="23"/>
  </w:num>
  <w:num w:numId="21" w16cid:durableId="1623993261">
    <w:abstractNumId w:val="17"/>
  </w:num>
  <w:num w:numId="22" w16cid:durableId="410390624">
    <w:abstractNumId w:val="24"/>
  </w:num>
  <w:num w:numId="23" w16cid:durableId="591670543">
    <w:abstractNumId w:val="20"/>
  </w:num>
  <w:num w:numId="24" w16cid:durableId="1952274563">
    <w:abstractNumId w:val="1"/>
  </w:num>
  <w:num w:numId="25" w16cid:durableId="2038965050">
    <w:abstractNumId w:val="9"/>
  </w:num>
  <w:num w:numId="26" w16cid:durableId="343097344">
    <w:abstractNumId w:val="13"/>
  </w:num>
  <w:num w:numId="27" w16cid:durableId="1927834905">
    <w:abstractNumId w:val="4"/>
  </w:num>
  <w:num w:numId="28" w16cid:durableId="734087298">
    <w:abstractNumId w:val="22"/>
  </w:num>
  <w:num w:numId="29" w16cid:durableId="242953588">
    <w:abstractNumId w:val="2"/>
  </w:num>
  <w:num w:numId="30" w16cid:durableId="2006593876">
    <w:abstractNumId w:val="15"/>
  </w:num>
  <w:num w:numId="31" w16cid:durableId="298803367">
    <w:abstractNumId w:val="11"/>
  </w:num>
  <w:num w:numId="32" w16cid:durableId="15162664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mirrorMargins/>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6F5"/>
    <w:rsid w:val="000E3D4C"/>
    <w:rsid w:val="001C51EE"/>
    <w:rsid w:val="00F036F5"/>
    <w:rsid w:val="00FD7C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FDD6"/>
  <w15:docId w15:val="{C557DDEF-EBC2-4B45-8FCE-3C2A1DD9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0D0D0D" w:themeColor="text1" w:themeTint="F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76" w:lineRule="auto"/>
    </w:pPr>
    <w:rPr>
      <w:rFonts w:ascii="Times New Roman" w:hAnsi="Times New Roman"/>
    </w:rPr>
  </w:style>
  <w:style w:type="paragraph" w:styleId="Nagwek1">
    <w:name w:val="heading 1"/>
    <w:basedOn w:val="Normalny"/>
    <w:next w:val="Normalny"/>
    <w:link w:val="Nagwek1Znak"/>
    <w:uiPriority w:val="9"/>
    <w:qFormat/>
    <w:pPr>
      <w:keepNext/>
      <w:keepLines/>
      <w:numPr>
        <w:numId w:val="17"/>
      </w:numPr>
      <w:spacing w:before="840" w:after="840"/>
      <w:contextualSpacing/>
      <w:outlineLvl w:val="0"/>
    </w:pPr>
    <w:rPr>
      <w:rFonts w:asciiTheme="majorHAnsi" w:eastAsiaTheme="majorEastAsia" w:hAnsiTheme="majorHAnsi" w:cstheme="majorBidi"/>
      <w:b/>
      <w:color w:val="2F5C89" w:themeColor="accent1"/>
      <w:sz w:val="24"/>
      <w:szCs w:val="24"/>
    </w:rPr>
  </w:style>
  <w:style w:type="paragraph" w:styleId="Nagwek2">
    <w:name w:val="heading 2"/>
    <w:basedOn w:val="Normalny"/>
    <w:next w:val="Normalny"/>
    <w:link w:val="Nagwek2Znak"/>
    <w:uiPriority w:val="9"/>
    <w:unhideWhenUsed/>
    <w:qFormat/>
    <w:pPr>
      <w:keepNext/>
      <w:keepLines/>
      <w:numPr>
        <w:ilvl w:val="1"/>
        <w:numId w:val="17"/>
      </w:numPr>
      <w:spacing w:before="480"/>
      <w:contextualSpacing/>
      <w:outlineLvl w:val="1"/>
    </w:pPr>
    <w:rPr>
      <w:rFonts w:asciiTheme="majorHAnsi" w:eastAsiaTheme="majorEastAsia" w:hAnsiTheme="majorHAnsi" w:cstheme="majorBidi"/>
      <w:b/>
      <w:smallCaps/>
      <w:color w:val="234466" w:themeColor="accent1" w:themeShade="BF"/>
    </w:rPr>
  </w:style>
  <w:style w:type="paragraph" w:styleId="Nagwek3">
    <w:name w:val="heading 3"/>
    <w:basedOn w:val="Normalny"/>
    <w:next w:val="Normalny"/>
    <w:link w:val="Nagwek3Znak"/>
    <w:uiPriority w:val="9"/>
    <w:unhideWhenUsed/>
    <w:qFormat/>
    <w:pPr>
      <w:keepNext/>
      <w:keepLines/>
      <w:numPr>
        <w:ilvl w:val="2"/>
        <w:numId w:val="17"/>
      </w:numPr>
      <w:spacing w:before="480" w:after="40" w:line="360" w:lineRule="auto"/>
      <w:contextualSpacing/>
      <w:outlineLvl w:val="2"/>
    </w:pPr>
    <w:rPr>
      <w:rFonts w:asciiTheme="majorHAnsi" w:eastAsiaTheme="majorEastAsia" w:hAnsiTheme="majorHAnsi" w:cstheme="majorBidi"/>
      <w:b/>
      <w:smallCaps/>
      <w:color w:val="3C3F49"/>
      <w:szCs w:val="20"/>
    </w:rPr>
  </w:style>
  <w:style w:type="paragraph" w:styleId="Nagwek4">
    <w:name w:val="heading 4"/>
    <w:basedOn w:val="Normalny"/>
    <w:next w:val="Normalny"/>
    <w:link w:val="Nagwek4Znak"/>
    <w:uiPriority w:val="9"/>
    <w:unhideWhenUsed/>
    <w:qFormat/>
    <w:pPr>
      <w:keepNext/>
      <w:keepLines/>
      <w:spacing w:before="240" w:after="40"/>
      <w:outlineLvl w:val="3"/>
    </w:pPr>
    <w:rPr>
      <w:rFonts w:asciiTheme="majorHAnsi" w:eastAsiaTheme="majorEastAsia" w:hAnsiTheme="majorHAnsi" w:cstheme="majorBidi"/>
      <w:b/>
      <w:iCs/>
      <w:smallCaps/>
      <w:color w:val="234466" w:themeColor="accent1" w:themeShade="BF"/>
      <w:szCs w:val="20"/>
    </w:rPr>
  </w:style>
  <w:style w:type="paragraph" w:styleId="Nagwek5">
    <w:name w:val="heading 5"/>
    <w:next w:val="Normalny"/>
    <w:uiPriority w:val="9"/>
    <w:unhideWhenUsed/>
    <w:qFormat/>
    <w:pPr>
      <w:keepNext/>
      <w:spacing w:before="240" w:after="120"/>
      <w:outlineLvl w:val="4"/>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pPr>
      <w:spacing w:before="840" w:after="300" w:line="240" w:lineRule="auto"/>
      <w:contextualSpacing/>
      <w:jc w:val="center"/>
    </w:pPr>
    <w:rPr>
      <w:rFonts w:eastAsiaTheme="majorEastAsia" w:cstheme="majorBidi"/>
      <w:b/>
      <w:color w:val="3C3F49" w:themeColor="text2"/>
      <w:spacing w:val="5"/>
      <w:kern w:val="28"/>
      <w:sz w:val="72"/>
      <w:szCs w:val="48"/>
    </w:rPr>
  </w:style>
  <w:style w:type="paragraph" w:styleId="Podtytu">
    <w:name w:val="Subtitle"/>
    <w:basedOn w:val="Normalny"/>
    <w:next w:val="Normalny"/>
    <w:link w:val="PodtytuZnak"/>
    <w:uiPriority w:val="11"/>
    <w:qFormat/>
    <w:rPr>
      <w:rFonts w:eastAsiaTheme="minorEastAsia"/>
      <w:color w:val="auto"/>
      <w:szCs w:val="14"/>
    </w:rPr>
  </w:style>
  <w:style w:type="paragraph" w:styleId="Akapitzlist">
    <w:name w:val="List Paragraph"/>
    <w:basedOn w:val="Normalny"/>
    <w:autoRedefine/>
    <w:qFormat/>
    <w:pPr>
      <w:ind w:left="720"/>
      <w:contextualSpacing/>
    </w:pPr>
  </w:style>
  <w:style w:type="paragraph" w:styleId="Tekstdymka">
    <w:name w:val="Balloon Text"/>
    <w:basedOn w:val="Normalny"/>
    <w:link w:val="TekstdymkaZnak"/>
    <w:semiHidden/>
    <w:pPr>
      <w:spacing w:after="0" w:line="240" w:lineRule="auto"/>
    </w:pPr>
    <w:rPr>
      <w:rFonts w:ascii="Segoe UI" w:hAnsi="Segoe UI" w:cs="Segoe UI"/>
      <w:sz w:val="18"/>
      <w:szCs w:val="18"/>
    </w:rPr>
  </w:style>
  <w:style w:type="paragraph" w:styleId="Cytatintensywny">
    <w:name w:val="Intense Quote"/>
    <w:aliases w:val="Pozytyw"/>
    <w:basedOn w:val="Normalny"/>
    <w:next w:val="Normalny"/>
    <w:link w:val="CytatintensywnyZnak"/>
    <w:autoRedefine/>
    <w:qFormat/>
    <w:pPr>
      <w:pBdr>
        <w:top w:val="single" w:sz="8" w:space="10" w:color="006139" w:themeColor="accent6"/>
        <w:bottom w:val="single" w:sz="8" w:space="10" w:color="006139" w:themeColor="accent6"/>
      </w:pBdr>
      <w:shd w:val="clear" w:color="auto" w:fill="E1F5F5"/>
      <w:spacing w:before="360" w:after="360"/>
      <w:ind w:left="864" w:right="864"/>
      <w:jc w:val="center"/>
    </w:pPr>
    <w:rPr>
      <w:i/>
      <w:iCs/>
      <w:color w:val="006139" w:themeColor="accent6"/>
    </w:rPr>
  </w:style>
  <w:style w:type="paragraph" w:styleId="Cytat">
    <w:name w:val="Quote"/>
    <w:aliases w:val="Uwaga"/>
    <w:basedOn w:val="Normalny"/>
    <w:next w:val="Normalny"/>
    <w:link w:val="CytatZnak"/>
    <w:autoRedefine/>
    <w:qFormat/>
    <w:pPr>
      <w:pBdr>
        <w:top w:val="single" w:sz="8" w:space="10" w:color="D90912" w:themeColor="accent4"/>
        <w:bottom w:val="single" w:sz="8" w:space="10" w:color="D90912" w:themeColor="accent4"/>
      </w:pBdr>
      <w:shd w:val="clear" w:color="auto" w:fill="FFF5F5"/>
      <w:spacing w:before="360" w:after="360"/>
      <w:ind w:left="862" w:right="862"/>
      <w:contextualSpacing/>
      <w:jc w:val="center"/>
    </w:pPr>
    <w:rPr>
      <w:i/>
      <w:iCs/>
      <w:color w:val="D90912" w:themeColor="accent4"/>
    </w:rPr>
  </w:style>
  <w:style w:type="paragraph" w:styleId="Nagwek">
    <w:name w:val="header"/>
    <w:basedOn w:val="Normalny"/>
    <w:link w:val="NagwekZnak"/>
    <w:pPr>
      <w:tabs>
        <w:tab w:val="center" w:pos="4536"/>
        <w:tab w:val="right" w:pos="9072"/>
      </w:tabs>
      <w:spacing w:after="0" w:line="240" w:lineRule="auto"/>
    </w:pPr>
  </w:style>
  <w:style w:type="paragraph" w:styleId="Stopka">
    <w:name w:val="footer"/>
    <w:basedOn w:val="Normalny"/>
    <w:link w:val="StopkaZnak"/>
    <w:pPr>
      <w:tabs>
        <w:tab w:val="center" w:pos="4536"/>
        <w:tab w:val="right" w:pos="9072"/>
      </w:tabs>
      <w:spacing w:before="240" w:after="0" w:line="240" w:lineRule="auto"/>
    </w:pPr>
    <w:rPr>
      <w:sz w:val="18"/>
    </w:rPr>
  </w:style>
  <w:style w:type="paragraph" w:styleId="Nagwekspisutreci">
    <w:name w:val="TOC Heading"/>
    <w:basedOn w:val="Nagwek1"/>
    <w:next w:val="Normalny"/>
    <w:qFormat/>
    <w:pPr>
      <w:spacing w:line="259" w:lineRule="auto"/>
      <w:outlineLvl w:val="9"/>
    </w:pPr>
    <w:rPr>
      <w:color w:val="234466" w:themeColor="accent1" w:themeShade="BF"/>
      <w:lang w:eastAsia="pl-PL"/>
    </w:rPr>
  </w:style>
  <w:style w:type="paragraph" w:styleId="Spistreci1">
    <w:name w:val="toc 1"/>
    <w:basedOn w:val="Normalny"/>
    <w:next w:val="Normalny"/>
    <w:autoRedefine/>
    <w:pPr>
      <w:spacing w:before="240" w:after="0"/>
    </w:pPr>
    <w:rPr>
      <w:rFonts w:cstheme="majorHAnsi"/>
      <w:b/>
      <w:bCs/>
      <w:caps/>
      <w:sz w:val="24"/>
      <w:szCs w:val="24"/>
    </w:rPr>
  </w:style>
  <w:style w:type="paragraph" w:styleId="Spistreci2">
    <w:name w:val="toc 2"/>
    <w:basedOn w:val="Normalny"/>
    <w:next w:val="Normalny"/>
    <w:autoRedefine/>
    <w:pPr>
      <w:spacing w:before="120" w:after="0"/>
    </w:pPr>
    <w:rPr>
      <w:rFonts w:cstheme="minorHAnsi"/>
      <w:b/>
      <w:bCs/>
    </w:rPr>
  </w:style>
  <w:style w:type="paragraph" w:styleId="Spistreci3">
    <w:name w:val="toc 3"/>
    <w:basedOn w:val="Normalny"/>
    <w:next w:val="Normalny"/>
    <w:autoRedefine/>
    <w:pPr>
      <w:spacing w:after="0"/>
      <w:ind w:left="200"/>
    </w:pPr>
    <w:rPr>
      <w:rFonts w:cstheme="minorHAnsi"/>
    </w:rPr>
  </w:style>
  <w:style w:type="paragraph" w:styleId="Spistreci4">
    <w:name w:val="toc 4"/>
    <w:basedOn w:val="Normalny"/>
    <w:next w:val="Normalny"/>
    <w:autoRedefine/>
    <w:pPr>
      <w:spacing w:after="0"/>
      <w:ind w:left="400"/>
    </w:pPr>
    <w:rPr>
      <w:rFonts w:cstheme="minorHAnsi"/>
    </w:rPr>
  </w:style>
  <w:style w:type="paragraph" w:styleId="Spistreci5">
    <w:name w:val="toc 5"/>
    <w:basedOn w:val="Normalny"/>
    <w:next w:val="Normalny"/>
    <w:autoRedefine/>
    <w:pPr>
      <w:spacing w:after="0"/>
      <w:ind w:left="600"/>
    </w:pPr>
    <w:rPr>
      <w:rFonts w:cstheme="minorHAnsi"/>
    </w:rPr>
  </w:style>
  <w:style w:type="paragraph" w:styleId="Spistreci6">
    <w:name w:val="toc 6"/>
    <w:basedOn w:val="Normalny"/>
    <w:next w:val="Normalny"/>
    <w:autoRedefine/>
    <w:pPr>
      <w:spacing w:after="0"/>
      <w:ind w:left="800"/>
    </w:pPr>
    <w:rPr>
      <w:rFonts w:cstheme="minorHAnsi"/>
    </w:rPr>
  </w:style>
  <w:style w:type="paragraph" w:styleId="Spistreci7">
    <w:name w:val="toc 7"/>
    <w:basedOn w:val="Normalny"/>
    <w:next w:val="Normalny"/>
    <w:autoRedefine/>
    <w:pPr>
      <w:spacing w:after="0"/>
      <w:ind w:left="1000"/>
    </w:pPr>
    <w:rPr>
      <w:rFonts w:cstheme="minorHAnsi"/>
    </w:rPr>
  </w:style>
  <w:style w:type="paragraph" w:styleId="Spistreci8">
    <w:name w:val="toc 8"/>
    <w:basedOn w:val="Normalny"/>
    <w:next w:val="Normalny"/>
    <w:autoRedefine/>
    <w:pPr>
      <w:spacing w:after="0"/>
      <w:ind w:left="1200"/>
    </w:pPr>
    <w:rPr>
      <w:rFonts w:cstheme="minorHAnsi"/>
    </w:rPr>
  </w:style>
  <w:style w:type="paragraph" w:styleId="Spistreci9">
    <w:name w:val="toc 9"/>
    <w:basedOn w:val="Normalny"/>
    <w:next w:val="Normalny"/>
    <w:autoRedefine/>
    <w:pPr>
      <w:spacing w:after="0"/>
      <w:ind w:left="1400"/>
    </w:pPr>
    <w:rPr>
      <w:rFonts w:cstheme="minorHAnsi"/>
    </w:rPr>
  </w:style>
  <w:style w:type="paragraph" w:styleId="Tekstkomentarza">
    <w:name w:val="annotation text"/>
    <w:basedOn w:val="Normalny"/>
    <w:link w:val="TekstkomentarzaZnak"/>
    <w:pPr>
      <w:spacing w:line="240" w:lineRule="auto"/>
    </w:pPr>
  </w:style>
  <w:style w:type="paragraph" w:styleId="Tematkomentarza">
    <w:name w:val="annotation subject"/>
    <w:basedOn w:val="Tekstkomentarza"/>
    <w:next w:val="Tekstkomentarza"/>
    <w:link w:val="TematkomentarzaZnak"/>
    <w:semiHidden/>
    <w:rPr>
      <w:b/>
      <w:bCs/>
    </w:rPr>
  </w:style>
  <w:style w:type="paragraph" w:styleId="Legenda">
    <w:name w:val="caption"/>
    <w:basedOn w:val="Normalny"/>
    <w:next w:val="Normalny"/>
    <w:qFormat/>
    <w:pPr>
      <w:spacing w:after="200" w:line="240" w:lineRule="auto"/>
    </w:pPr>
    <w:rPr>
      <w:i/>
      <w:iCs/>
      <w:color w:val="3C3F49" w:themeColor="text2"/>
      <w:sz w:val="18"/>
      <w:szCs w:val="18"/>
    </w:rPr>
  </w:style>
  <w:style w:type="paragraph" w:styleId="Tekstprzypisukocowego">
    <w:name w:val="endnote text"/>
    <w:basedOn w:val="Normalny"/>
    <w:link w:val="TekstprzypisukocowegoZnak"/>
    <w:semiHidden/>
    <w:pPr>
      <w:spacing w:after="0" w:line="240" w:lineRule="auto"/>
    </w:pPr>
  </w:style>
  <w:style w:type="paragraph" w:customStyle="1" w:styleId="Styl1">
    <w:name w:val="Styl1"/>
    <w:basedOn w:val="Podtytu"/>
    <w:link w:val="Styl1Znak"/>
    <w:qFormat/>
  </w:style>
  <w:style w:type="paragraph" w:customStyle="1" w:styleId="Naglowek4">
    <w:name w:val="Naglowek 4"/>
    <w:basedOn w:val="Nagwek3"/>
    <w:next w:val="Nagwek4"/>
    <w:qFormat/>
    <w:pPr>
      <w:spacing w:before="120" w:after="120"/>
    </w:pPr>
  </w:style>
  <w:style w:type="paragraph" w:customStyle="1" w:styleId="Styl2">
    <w:name w:val="Styl2"/>
    <w:basedOn w:val="Nagwek3"/>
    <w:next w:val="Naglowek4"/>
    <w:qFormat/>
  </w:style>
  <w:style w:type="paragraph" w:customStyle="1" w:styleId="Styl3">
    <w:name w:val="Styl3"/>
    <w:basedOn w:val="Nagwek3"/>
    <w:qFormat/>
    <w:pPr>
      <w:numPr>
        <w:ilvl w:val="3"/>
      </w:numPr>
    </w:pPr>
  </w:style>
  <w:style w:type="paragraph" w:customStyle="1" w:styleId="Styl31">
    <w:name w:val="Styl31"/>
    <w:basedOn w:val="Nagwek3"/>
    <w:next w:val="Styl3"/>
    <w:qFormat/>
    <w:pPr>
      <w:numPr>
        <w:numId w:val="0"/>
      </w:numPr>
      <w:ind w:left="1080" w:hanging="1080"/>
    </w:pPr>
  </w:style>
  <w:style w:type="paragraph" w:customStyle="1" w:styleId="SmallTitle">
    <w:name w:val="SmallTitle"/>
    <w:basedOn w:val="Normalny"/>
    <w:link w:val="SmallTitleZnak"/>
    <w:qFormat/>
    <w:pPr>
      <w:spacing w:line="259" w:lineRule="auto"/>
      <w:jc w:val="center"/>
    </w:pPr>
    <w:rPr>
      <w:b/>
      <w:bCs/>
    </w:rPr>
  </w:style>
  <w:style w:type="paragraph" w:customStyle="1" w:styleId="SmallSubtitle">
    <w:name w:val="SmallSubtitle"/>
    <w:basedOn w:val="Normalny"/>
    <w:link w:val="SmallSubtitleZnak"/>
    <w:qFormat/>
    <w:pPr>
      <w:keepNext/>
      <w:spacing w:before="240"/>
    </w:pPr>
    <w:rPr>
      <w:b/>
      <w:caps/>
      <w:lang w:val="en-US"/>
    </w:rPr>
  </w:style>
  <w:style w:type="paragraph" w:styleId="Tekstprzypisudolnego">
    <w:name w:val="footnote text"/>
    <w:link w:val="TekstprzypisudolnegoZnak"/>
    <w:semiHidden/>
    <w:pPr>
      <w:spacing w:after="0" w:line="240" w:lineRule="auto"/>
    </w:pPr>
    <w:rPr>
      <w:szCs w:val="20"/>
    </w:rPr>
  </w:style>
  <w:style w:type="character" w:styleId="Numerwiersza">
    <w:name w:val="line number"/>
    <w:basedOn w:val="Domylnaczcionkaakapitu"/>
    <w:semiHidden/>
  </w:style>
  <w:style w:type="character" w:styleId="Hipercze">
    <w:name w:val="Hyperlink"/>
    <w:basedOn w:val="Domylnaczcionkaakapitu"/>
    <w:rPr>
      <w:color w:val="0563C1" w:themeColor="hyperlink"/>
      <w:u w:val="single"/>
    </w:rPr>
  </w:style>
  <w:style w:type="character" w:customStyle="1" w:styleId="Nagwek1Znak">
    <w:name w:val="Nagłówek 1 Znak"/>
    <w:basedOn w:val="Domylnaczcionkaakapitu"/>
    <w:link w:val="Nagwek1"/>
    <w:rPr>
      <w:rFonts w:asciiTheme="majorHAnsi" w:eastAsiaTheme="majorEastAsia" w:hAnsiTheme="majorHAnsi" w:cstheme="majorBidi"/>
      <w:b/>
      <w:color w:val="2F5C89" w:themeColor="accent1"/>
      <w:sz w:val="24"/>
      <w:szCs w:val="24"/>
    </w:rPr>
  </w:style>
  <w:style w:type="character" w:customStyle="1" w:styleId="Nagwek2Znak">
    <w:name w:val="Nagłówek 2 Znak"/>
    <w:basedOn w:val="Domylnaczcionkaakapitu"/>
    <w:link w:val="Nagwek2"/>
    <w:rPr>
      <w:rFonts w:asciiTheme="majorHAnsi" w:eastAsiaTheme="majorEastAsia" w:hAnsiTheme="majorHAnsi" w:cstheme="majorBidi"/>
      <w:b/>
      <w:smallCaps/>
      <w:color w:val="234466" w:themeColor="accent1" w:themeShade="BF"/>
    </w:rPr>
  </w:style>
  <w:style w:type="character" w:customStyle="1" w:styleId="TytuZnak">
    <w:name w:val="Tytuł Znak"/>
    <w:basedOn w:val="Domylnaczcionkaakapitu"/>
    <w:link w:val="Tytu"/>
    <w:rPr>
      <w:rFonts w:ascii="Times New Roman" w:eastAsiaTheme="majorEastAsia" w:hAnsi="Times New Roman" w:cstheme="majorBidi"/>
      <w:b/>
      <w:color w:val="3C3F49" w:themeColor="text2"/>
      <w:spacing w:val="5"/>
      <w:kern w:val="28"/>
      <w:sz w:val="72"/>
      <w:szCs w:val="48"/>
    </w:rPr>
  </w:style>
  <w:style w:type="character" w:customStyle="1" w:styleId="PodtytuZnak">
    <w:name w:val="Podtytuł Znak"/>
    <w:basedOn w:val="Domylnaczcionkaakapitu"/>
    <w:link w:val="Podtytu"/>
    <w:rPr>
      <w:rFonts w:eastAsiaTheme="minorEastAsia"/>
      <w:color w:val="auto"/>
      <w:szCs w:val="14"/>
    </w:rPr>
  </w:style>
  <w:style w:type="character" w:customStyle="1" w:styleId="Nagwek3Znak">
    <w:name w:val="Nagłówek 3 Znak"/>
    <w:basedOn w:val="Domylnaczcionkaakapitu"/>
    <w:link w:val="Nagwek3"/>
    <w:rPr>
      <w:rFonts w:asciiTheme="majorHAnsi" w:eastAsiaTheme="majorEastAsia" w:hAnsiTheme="majorHAnsi" w:cstheme="majorBidi"/>
      <w:b/>
      <w:smallCaps/>
      <w:color w:val="3C3F49"/>
      <w:sz w:val="20"/>
      <w:szCs w:val="20"/>
    </w:rPr>
  </w:style>
  <w:style w:type="character" w:styleId="Wyrnieniedelikatne">
    <w:name w:val="Subtle Emphasis"/>
    <w:aliases w:val="Źródło"/>
    <w:basedOn w:val="Domylnaczcionkaakapitu"/>
    <w:rPr>
      <w:i/>
      <w:iCs/>
      <w:color w:val="404040" w:themeColor="text1" w:themeTint="BF"/>
    </w:rPr>
  </w:style>
  <w:style w:type="character" w:customStyle="1" w:styleId="TekstdymkaZnak">
    <w:name w:val="Tekst dymka Znak"/>
    <w:basedOn w:val="Domylnaczcionkaakapitu"/>
    <w:link w:val="Tekstdymka"/>
    <w:semiHidden/>
    <w:rPr>
      <w:rFonts w:ascii="Segoe UI" w:hAnsi="Segoe UI" w:cs="Segoe UI"/>
      <w:color w:val="121313" w:themeColor="background2" w:themeShade="19"/>
      <w:sz w:val="18"/>
      <w:szCs w:val="18"/>
    </w:rPr>
  </w:style>
  <w:style w:type="character" w:customStyle="1" w:styleId="CytatintensywnyZnak">
    <w:name w:val="Cytat intensywny Znak"/>
    <w:aliases w:val="Pozytyw Znak"/>
    <w:basedOn w:val="Domylnaczcionkaakapitu"/>
    <w:link w:val="Cytatintensywny"/>
    <w:rPr>
      <w:i/>
      <w:iCs/>
      <w:color w:val="006139" w:themeColor="accent6"/>
      <w:sz w:val="20"/>
      <w:shd w:val="clear" w:color="auto" w:fill="E1F5F5"/>
    </w:rPr>
  </w:style>
  <w:style w:type="character" w:customStyle="1" w:styleId="CytatZnak">
    <w:name w:val="Cytat Znak"/>
    <w:aliases w:val="Uwaga Znak"/>
    <w:basedOn w:val="Domylnaczcionkaakapitu"/>
    <w:link w:val="Cytat"/>
    <w:rPr>
      <w:i/>
      <w:iCs/>
      <w:color w:val="D90912" w:themeColor="accent4"/>
      <w:sz w:val="20"/>
      <w:shd w:val="clear" w:color="auto" w:fill="FFF5F5"/>
    </w:rPr>
  </w:style>
  <w:style w:type="character" w:customStyle="1" w:styleId="NagwekZnak">
    <w:name w:val="Nagłówek Znak"/>
    <w:basedOn w:val="Domylnaczcionkaakapitu"/>
    <w:link w:val="Nagwek"/>
    <w:rPr>
      <w:color w:val="121313" w:themeColor="background2" w:themeShade="19"/>
      <w:sz w:val="20"/>
    </w:rPr>
  </w:style>
  <w:style w:type="character" w:customStyle="1" w:styleId="StopkaZnak">
    <w:name w:val="Stopka Znak"/>
    <w:basedOn w:val="Domylnaczcionkaakapitu"/>
    <w:link w:val="Stopka"/>
    <w:rPr>
      <w:rFonts w:ascii="Times New Roman" w:hAnsi="Times New Roman"/>
      <w:sz w:val="18"/>
    </w:rPr>
  </w:style>
  <w:style w:type="character" w:styleId="Odwoaniedokomentarza">
    <w:name w:val="annotation reference"/>
    <w:basedOn w:val="Domylnaczcionkaakapitu"/>
    <w:semiHidden/>
    <w:rPr>
      <w:sz w:val="16"/>
      <w:szCs w:val="16"/>
    </w:rPr>
  </w:style>
  <w:style w:type="character" w:customStyle="1" w:styleId="TekstkomentarzaZnak">
    <w:name w:val="Tekst komentarza Znak"/>
    <w:basedOn w:val="Domylnaczcionkaakapitu"/>
    <w:link w:val="Tekstkomentarza"/>
  </w:style>
  <w:style w:type="character" w:customStyle="1" w:styleId="TematkomentarzaZnak">
    <w:name w:val="Temat komentarza Znak"/>
    <w:basedOn w:val="TekstkomentarzaZnak"/>
    <w:link w:val="Tematkomentarza"/>
    <w:semiHidden/>
    <w:rPr>
      <w:b/>
      <w:bCs/>
    </w:rPr>
  </w:style>
  <w:style w:type="character" w:customStyle="1" w:styleId="TekstprzypisukocowegoZnak">
    <w:name w:val="Tekst przypisu końcowego Znak"/>
    <w:basedOn w:val="Domylnaczcionkaakapitu"/>
    <w:link w:val="Tekstprzypisukocowego"/>
    <w:semiHidden/>
  </w:style>
  <w:style w:type="character" w:styleId="Odwoanieprzypisukocowego">
    <w:name w:val="endnote reference"/>
    <w:basedOn w:val="Domylnaczcionkaakapitu"/>
    <w:semiHidden/>
    <w:rPr>
      <w:vertAlign w:val="superscript"/>
    </w:rPr>
  </w:style>
  <w:style w:type="character" w:customStyle="1" w:styleId="Styl1Znak">
    <w:name w:val="Styl1 Znak"/>
    <w:basedOn w:val="PodtytuZnak"/>
    <w:link w:val="Styl1"/>
    <w:rPr>
      <w:rFonts w:eastAsiaTheme="minorEastAsia"/>
      <w:color w:val="auto"/>
      <w:szCs w:val="14"/>
    </w:rPr>
  </w:style>
  <w:style w:type="character" w:customStyle="1" w:styleId="Nagwek4Znak">
    <w:name w:val="Nagłówek 4 Znak"/>
    <w:basedOn w:val="Domylnaczcionkaakapitu"/>
    <w:link w:val="Nagwek4"/>
    <w:uiPriority w:val="9"/>
    <w:semiHidden/>
    <w:rPr>
      <w:rFonts w:asciiTheme="majorHAnsi" w:eastAsiaTheme="majorEastAsia" w:hAnsiTheme="majorHAnsi" w:cstheme="majorBidi"/>
      <w:b/>
      <w:iCs/>
      <w:smallCaps/>
      <w:color w:val="234466" w:themeColor="accent1" w:themeShade="BF"/>
      <w:szCs w:val="20"/>
    </w:rPr>
  </w:style>
  <w:style w:type="character" w:customStyle="1" w:styleId="SmallTitleZnak">
    <w:name w:val="SmallTitle Znak"/>
    <w:basedOn w:val="Domylnaczcionkaakapitu"/>
    <w:link w:val="SmallTitle"/>
    <w:rPr>
      <w:rFonts w:ascii="Times New Roman" w:hAnsi="Times New Roman"/>
      <w:b/>
      <w:bCs/>
    </w:rPr>
  </w:style>
  <w:style w:type="character" w:customStyle="1" w:styleId="SmallSubtitleZnak">
    <w:name w:val="SmallSubtitle Znak"/>
    <w:basedOn w:val="Domylnaczcionkaakapitu"/>
    <w:link w:val="SmallSubtitle"/>
    <w:rPr>
      <w:rFonts w:ascii="Times New Roman" w:hAnsi="Times New Roman"/>
      <w:b/>
      <w:caps/>
      <w:lang w:val="en-US"/>
    </w:rPr>
  </w:style>
  <w:style w:type="character" w:styleId="Odwoanieprzypisudolnego">
    <w:name w:val="footnote reference"/>
    <w:semiHidden/>
    <w:rPr>
      <w:vertAlign w:val="superscript"/>
    </w:rPr>
  </w:style>
  <w:style w:type="character" w:customStyle="1" w:styleId="TekstprzypisudolnegoZnak">
    <w:name w:val="Tekst przypisu dolnego Znak"/>
    <w:link w:val="Tekstprzypisudolnego"/>
    <w:semiHidden/>
    <w:rPr>
      <w:sz w:val="20"/>
      <w:szCs w:val="20"/>
    </w:rPr>
  </w:style>
  <w:style w:type="character" w:customStyle="1" w:styleId="EndnoteTextChar">
    <w:name w:val="Endnote Text Char"/>
    <w:semiHidden/>
    <w:rPr>
      <w:sz w:val="20"/>
      <w:szCs w:val="20"/>
    </w:rPr>
  </w:style>
  <w:style w:type="table" w:styleId="Tabela-Prosty1">
    <w:name w:val="Table Simple 1"/>
    <w:basedOn w:val="Standardowy"/>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Siatka">
    <w:name w:val="Table Grid"/>
    <w:basedOn w:val="Standardowy"/>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urulis">
    <w:name w:val="Tabela Curulis"/>
    <w:basedOn w:val="Standardowy"/>
    <w:pPr>
      <w:spacing w:after="0" w:line="276" w:lineRule="auto"/>
      <w:jc w:val="right"/>
    </w:pPr>
    <w:rPr>
      <w:rFonts w:ascii="Arial" w:hAnsi="Arial"/>
      <w:sz w:val="18"/>
    </w:rPr>
    <w:tblPr>
      <w:tblBorders>
        <w:bottom w:val="single" w:sz="4" w:space="0" w:color="DADBDC" w:themeColor="background2" w:themeTint="99"/>
        <w:insideH w:val="single" w:sz="4" w:space="0" w:color="DADBDC" w:themeColor="background2" w:themeTint="99"/>
        <w:insideV w:val="single" w:sz="4" w:space="0" w:color="DADBDC" w:themeColor="background2" w:themeTint="99"/>
      </w:tblBorders>
      <w:tblCellMar>
        <w:top w:w="68" w:type="dxa"/>
        <w:left w:w="85" w:type="dxa"/>
        <w:bottom w:w="68" w:type="dxa"/>
        <w:right w:w="85" w:type="dxa"/>
      </w:tblCellMar>
    </w:tblPr>
    <w:tcPr>
      <w:vAlign w:val="center"/>
    </w:tcPr>
    <w:tblStylePr w:type="firstRow">
      <w:pPr>
        <w:jc w:val="center"/>
      </w:pPr>
      <w:rPr>
        <w:rFonts w:ascii="Arial" w:hAnsi="Arial"/>
        <w:b/>
        <w:i w:val="0"/>
        <w:caps w:val="0"/>
        <w:smallCaps w:val="0"/>
        <w:vanish w:val="0"/>
        <w:color w:val="FFFFFF" w:themeColor="background1"/>
        <w:sz w:val="18"/>
        <w:vertAlign w:val="baseline"/>
      </w:rPr>
      <w:tblPr/>
      <w:tcPr>
        <w:tcBorders>
          <w:top w:val="nil"/>
          <w:left w:val="nil"/>
          <w:bottom w:val="nil"/>
          <w:right w:val="nil"/>
          <w:insideH w:val="nil"/>
          <w:insideV w:val="single" w:sz="8" w:space="0" w:color="FFFFFF" w:themeColor="background1"/>
          <w:tl2br w:val="nil"/>
          <w:tr2bl w:val="nil"/>
        </w:tcBorders>
        <w:shd w:val="clear" w:color="auto" w:fill="3C3F49" w:themeFill="text2"/>
      </w:tcPr>
    </w:tblStylePr>
    <w:tblStylePr w:type="lastRow">
      <w:rPr>
        <w:b/>
      </w:rPr>
    </w:tblStylePr>
    <w:tblStylePr w:type="firstCol">
      <w:pPr>
        <w:jc w:val="left"/>
      </w:pPr>
      <w:rPr>
        <w:b w:val="0"/>
      </w:rPr>
      <w:tblPr/>
      <w:tcPr>
        <w:shd w:val="clear" w:color="auto" w:fill="F2F3F3" w:themeFill="background2" w:themeFillTint="32"/>
      </w:tcPr>
    </w:tblStylePr>
  </w:style>
  <w:style w:type="table" w:customStyle="1" w:styleId="TabelaCurulisLiczby">
    <w:name w:val="Tabela Curulis Liczby"/>
    <w:basedOn w:val="TabelaCurulis"/>
    <w:pPr>
      <w:spacing w:line="240" w:lineRule="auto"/>
    </w:pPr>
    <w:tblPr>
      <w:tblBorders>
        <w:top w:val="single" w:sz="4" w:space="0" w:color="8F9296" w:themeColor="background2" w:themeShade="BF"/>
        <w:left w:val="single" w:sz="4" w:space="0" w:color="8F9296" w:themeColor="background2" w:themeShade="BF"/>
        <w:bottom w:val="single" w:sz="4" w:space="0" w:color="8F9296" w:themeColor="background2" w:themeShade="BF"/>
        <w:right w:val="single" w:sz="4" w:space="0" w:color="8F9296" w:themeColor="background2" w:themeShade="BF"/>
        <w:insideH w:val="single" w:sz="4" w:space="0" w:color="8F9296" w:themeColor="background2" w:themeShade="BF"/>
        <w:insideV w:val="single" w:sz="4" w:space="0" w:color="8F9296" w:themeColor="background2" w:themeShade="BF"/>
      </w:tblBorders>
    </w:tblPr>
    <w:tblStylePr w:type="firstRow">
      <w:pPr>
        <w:jc w:val="center"/>
      </w:pPr>
      <w:rPr>
        <w:rFonts w:ascii="Arial" w:hAnsi="Arial"/>
        <w:b/>
        <w:i w:val="0"/>
        <w:caps w:val="0"/>
        <w:smallCaps w:val="0"/>
        <w:vanish w:val="0"/>
        <w:color w:val="FFFFFF" w:themeColor="background1"/>
        <w:sz w:val="18"/>
        <w:vertAlign w:val="baseline"/>
      </w:rPr>
      <w:tblPr/>
      <w:tcPr>
        <w:tcBorders>
          <w:top w:val="nil"/>
          <w:left w:val="nil"/>
          <w:bottom w:val="nil"/>
          <w:right w:val="nil"/>
          <w:insideH w:val="single" w:sz="4" w:space="0" w:color="FFFFFF" w:themeColor="background1"/>
          <w:insideV w:val="single" w:sz="4" w:space="0" w:color="FFFFFF" w:themeColor="background1"/>
          <w:tl2br w:val="nil"/>
          <w:tr2bl w:val="nil"/>
        </w:tcBorders>
        <w:shd w:val="clear" w:color="auto" w:fill="3C3F49" w:themeFill="text2"/>
      </w:tcPr>
    </w:tblStylePr>
    <w:tblStylePr w:type="lastRow">
      <w:rPr>
        <w:b/>
      </w:rPr>
    </w:tblStylePr>
    <w:tblStylePr w:type="firstCol">
      <w:pPr>
        <w:jc w:val="left"/>
      </w:pPr>
      <w:rPr>
        <w:b w:val="0"/>
      </w:rPr>
      <w:tblPr/>
      <w:tcPr>
        <w:shd w:val="clear" w:color="auto" w:fill="F2F3F3" w:themeFill="background2" w:themeFillTint="32"/>
      </w:tcPr>
    </w:tblStylePr>
  </w:style>
  <w:style w:type="table" w:customStyle="1" w:styleId="TabelaCurulisEco">
    <w:name w:val="Tabela Curulis Eco"/>
    <w:basedOn w:val="TabelaCurulis"/>
    <w:pPr>
      <w:spacing w:line="240" w:lineRule="auto"/>
    </w:pPr>
    <w:tblPr>
      <w:tblStyleRowBandSize w:val="1"/>
      <w:tblStyleColBandSize w:val="1"/>
    </w:tblPr>
    <w:tblStylePr w:type="firstRow">
      <w:pPr>
        <w:jc w:val="center"/>
      </w:pPr>
      <w:rPr>
        <w:rFonts w:ascii="Arial" w:hAnsi="Arial"/>
        <w:b/>
        <w:i w:val="0"/>
        <w:caps w:val="0"/>
        <w:smallCaps w:val="0"/>
        <w:vanish w:val="0"/>
        <w:color w:val="000000" w:themeColor="text1"/>
        <w:sz w:val="18"/>
        <w:vertAlign w:val="baseline"/>
      </w:rPr>
      <w:tblPr/>
      <w:tcPr>
        <w:tcBorders>
          <w:top w:val="nil"/>
          <w:left w:val="nil"/>
          <w:bottom w:val="single" w:sz="4" w:space="0" w:color="8F9296" w:themeColor="background2" w:themeShade="BF"/>
          <w:right w:val="nil"/>
          <w:insideH w:val="single" w:sz="4" w:space="0" w:color="8F9296" w:themeColor="background2" w:themeShade="BF"/>
          <w:insideV w:val="single" w:sz="4" w:space="0" w:color="8F9296" w:themeColor="background2" w:themeShade="BF"/>
          <w:tl2br w:val="nil"/>
          <w:tr2bl w:val="nil"/>
        </w:tcBorders>
        <w:shd w:val="clear" w:color="auto" w:fill="FFFFFF" w:themeFill="background1"/>
      </w:tcPr>
    </w:tblStylePr>
    <w:tblStylePr w:type="lastRow">
      <w:rPr>
        <w:b/>
      </w:rPr>
    </w:tblStylePr>
    <w:tblStylePr w:type="firstCol">
      <w:pPr>
        <w:jc w:val="left"/>
      </w:pPr>
      <w:rPr>
        <w:b w:val="0"/>
      </w:rPr>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Curulis">
  <a:themeElements>
    <a:clrScheme name="Curulis">
      <a:dk1>
        <a:sysClr val="windowText" lastClr="000000"/>
      </a:dk1>
      <a:lt1>
        <a:sysClr val="window" lastClr="FFFFFF"/>
      </a:lt1>
      <a:dk2>
        <a:srgbClr val="3C3F49"/>
      </a:dk2>
      <a:lt2>
        <a:srgbClr val="C2C4C6"/>
      </a:lt2>
      <a:accent1>
        <a:srgbClr val="2F5C89"/>
      </a:accent1>
      <a:accent2>
        <a:srgbClr val="A88848"/>
      </a:accent2>
      <a:accent3>
        <a:srgbClr val="FFC000"/>
      </a:accent3>
      <a:accent4>
        <a:srgbClr val="D90912"/>
      </a:accent4>
      <a:accent5>
        <a:srgbClr val="C6EEDE"/>
      </a:accent5>
      <a:accent6>
        <a:srgbClr val="006139"/>
      </a:accent6>
      <a:hlink>
        <a:srgbClr val="0563C1"/>
      </a:hlink>
      <a:folHlink>
        <a:srgbClr val="954F72"/>
      </a:folHlink>
    </a:clrScheme>
    <a:fontScheme name="Curulis">
      <a:majorFont>
        <a:latin typeface="Arial"/>
        <a:ea typeface=""/>
        <a:cs typeface=""/>
      </a:majorFont>
      <a:minorFont>
        <a:latin typeface="Arial"/>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775EC-6D52-46E9-B8D0-DADF27B57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2729</Words>
  <Characters>16375</Characters>
  <Application>Microsoft Office Word</Application>
  <DocSecurity>0</DocSecurity>
  <Lines>136</Lines>
  <Paragraphs>38</Paragraphs>
  <ScaleCrop>false</ScaleCrop>
  <Company/>
  <LinksUpToDate>false</LinksUpToDate>
  <CharactersWithSpaces>19066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Sawko</dc:creator>
  <cp:keywords>Curulis Sp. z o.o.</cp:keywords>
  <cp:lastModifiedBy>Viola Sz</cp:lastModifiedBy>
  <cp:revision>35</cp:revision>
  <cp:lastPrinted>2022-01-03T14:26:00Z</cp:lastPrinted>
  <dcterms:created xsi:type="dcterms:W3CDTF">2022-01-24T19:12:00Z</dcterms:created>
  <dcterms:modified xsi:type="dcterms:W3CDTF">2024-04-23T09:01:00Z</dcterms:modified>
</cp:coreProperties>
</file>