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sz w:val="36"/>
          <w:szCs w:val="36"/>
        </w:rPr>
      </w:pPr>
      <w:r>
        <w:rPr>
          <w:sz w:val="36"/>
          <w:szCs w:val="36"/>
        </w:rPr>
        <w:t>KOMUNIKAT</w:t>
      </w:r>
    </w:p>
    <w:p>
      <w:pPr>
        <w:pStyle w:val="style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MIEJSKIEJ KOMISJI WYBORCZEJ </w:t>
      </w:r>
      <w:r>
        <w:rPr>
          <w:sz w:val="36"/>
          <w:szCs w:val="36"/>
        </w:rPr>
        <w:br/>
      </w:r>
      <w:r>
        <w:rPr>
          <w:sz w:val="36"/>
          <w:szCs w:val="36"/>
        </w:rPr>
        <w:t>W CHOJNICACH z dnia 24 lipca 2017 r.</w:t>
      </w:r>
    </w:p>
    <w:p>
      <w:pPr>
        <w:pStyle w:val="style0"/>
        <w:spacing w:before="2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 dodatkowym naborze kandydatów na członków o</w:t>
      </w:r>
      <w:r>
        <w:rPr>
          <w:b/>
          <w:sz w:val="36"/>
          <w:szCs w:val="36"/>
        </w:rPr>
        <w:t xml:space="preserve">bwodowych </w:t>
      </w:r>
      <w:r>
        <w:rPr>
          <w:b/>
          <w:sz w:val="36"/>
          <w:szCs w:val="36"/>
        </w:rPr>
        <w:t>k</w:t>
      </w:r>
      <w:r>
        <w:rPr>
          <w:b/>
          <w:sz w:val="36"/>
          <w:szCs w:val="36"/>
        </w:rPr>
        <w:t xml:space="preserve">omisji </w:t>
      </w:r>
      <w:r>
        <w:rPr>
          <w:b/>
          <w:sz w:val="36"/>
          <w:szCs w:val="36"/>
        </w:rPr>
        <w:t>w</w:t>
      </w:r>
      <w:r>
        <w:rPr>
          <w:b/>
          <w:sz w:val="36"/>
          <w:szCs w:val="36"/>
        </w:rPr>
        <w:t xml:space="preserve">yborczych w wyborach uzupełniających do Rady Miejskiej w Chojnicach </w:t>
      </w:r>
      <w:r>
        <w:rPr>
          <w:b/>
          <w:sz w:val="36"/>
          <w:szCs w:val="36"/>
        </w:rPr>
        <w:t xml:space="preserve">w okręgu wyborczym Nr 20 </w:t>
      </w:r>
      <w:r>
        <w:rPr>
          <w:b/>
          <w:sz w:val="36"/>
          <w:szCs w:val="36"/>
        </w:rPr>
        <w:t>zarządzonych na dzień 20 sierpnia 2017 r.</w:t>
      </w:r>
    </w:p>
    <w:p>
      <w:pPr>
        <w:pStyle w:val="style0"/>
        <w:spacing w:before="48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Miejska Komisja Wyborcza w Chojnicach ogłasza dodatkowy nabór kandydatów do składów Obwodowych Komisji Wyborczych: </w:t>
      </w:r>
      <w:r>
        <w:rPr>
          <w:sz w:val="32"/>
          <w:szCs w:val="32"/>
        </w:rPr>
        <w:br/>
      </w:r>
      <w:r>
        <w:rPr>
          <w:sz w:val="32"/>
          <w:szCs w:val="32"/>
        </w:rPr>
        <w:t>Nr</w:t>
      </w:r>
      <w:r>
        <w:rPr>
          <w:sz w:val="32"/>
          <w:szCs w:val="32"/>
        </w:rPr>
        <w:t xml:space="preserve"> 20 – z siedzibą w Szpitalu Specjalistycznym im. J.K. Łukowicza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br/>
      </w:r>
      <w:r>
        <w:rPr>
          <w:sz w:val="32"/>
          <w:szCs w:val="32"/>
        </w:rPr>
        <w:t>(</w:t>
      </w:r>
      <w:r>
        <w:rPr>
          <w:sz w:val="32"/>
          <w:szCs w:val="32"/>
        </w:rPr>
        <w:t>4</w:t>
      </w:r>
      <w:r>
        <w:rPr>
          <w:sz w:val="32"/>
          <w:szCs w:val="32"/>
        </w:rPr>
        <w:t xml:space="preserve"> kandydatów), i</w:t>
      </w:r>
      <w:r>
        <w:rPr>
          <w:sz w:val="32"/>
          <w:szCs w:val="32"/>
        </w:rPr>
        <w:t xml:space="preserve"> Nr 23 – z siedzibą w Domu Pomocy S</w:t>
      </w:r>
      <w:r>
        <w:rPr>
          <w:sz w:val="32"/>
          <w:szCs w:val="32"/>
        </w:rPr>
        <w:t xml:space="preserve">połecznej, </w:t>
      </w:r>
      <w:r>
        <w:rPr>
          <w:sz w:val="32"/>
          <w:szCs w:val="32"/>
        </w:rPr>
        <w:t>odrębny obwód głosowania</w:t>
      </w:r>
      <w:r>
        <w:rPr>
          <w:sz w:val="32"/>
          <w:szCs w:val="32"/>
        </w:rPr>
        <w:t xml:space="preserve"> (3</w:t>
      </w:r>
      <w:r>
        <w:rPr>
          <w:sz w:val="32"/>
          <w:szCs w:val="32"/>
        </w:rPr>
        <w:t xml:space="preserve"> kandydat</w:t>
      </w:r>
      <w:r>
        <w:rPr>
          <w:sz w:val="32"/>
          <w:szCs w:val="32"/>
        </w:rPr>
        <w:t>ów</w:t>
      </w:r>
      <w:r>
        <w:rPr>
          <w:sz w:val="32"/>
          <w:szCs w:val="32"/>
        </w:rPr>
        <w:t>)</w:t>
      </w:r>
      <w:r>
        <w:rPr>
          <w:sz w:val="32"/>
          <w:szCs w:val="32"/>
        </w:rPr>
        <w:t xml:space="preserve">, spośród </w:t>
      </w:r>
      <w:r>
        <w:rPr>
          <w:sz w:val="32"/>
          <w:szCs w:val="32"/>
        </w:rPr>
        <w:t>wyborców ujętych w stałym rejestrze wyborców miasta Chojnice.</w:t>
      </w:r>
    </w:p>
    <w:p>
      <w:pPr>
        <w:pStyle w:val="style0"/>
        <w:ind w:firstLine="708"/>
        <w:jc w:val="both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Kandydat musi spełn</w:t>
      </w:r>
      <w:r>
        <w:rPr>
          <w:rFonts w:eastAsia="Times New Roman"/>
          <w:sz w:val="32"/>
          <w:szCs w:val="32"/>
        </w:rPr>
        <w:t xml:space="preserve">iać warunki określone w art. </w:t>
      </w:r>
      <w:r>
        <w:rPr>
          <w:rFonts w:eastAsia="Times New Roman"/>
          <w:sz w:val="32"/>
          <w:szCs w:val="32"/>
        </w:rPr>
        <w:t xml:space="preserve">153 i </w:t>
      </w:r>
      <w:r>
        <w:rPr>
          <w:rFonts w:eastAsia="Times New Roman"/>
          <w:sz w:val="32"/>
          <w:szCs w:val="32"/>
        </w:rPr>
        <w:t xml:space="preserve">182 </w:t>
      </w:r>
      <w:r>
        <w:rPr>
          <w:rFonts w:eastAsia="Times New Roman"/>
          <w:sz w:val="32"/>
          <w:szCs w:val="32"/>
        </w:rPr>
        <w:t>§</w:t>
      </w:r>
      <w:r>
        <w:rPr>
          <w:rFonts w:eastAsia="Times New Roman"/>
          <w:sz w:val="32"/>
          <w:szCs w:val="32"/>
        </w:rPr>
        <w:t xml:space="preserve"> 4</w:t>
      </w:r>
      <w:r>
        <w:rPr>
          <w:rFonts w:eastAsia="Times New Roman"/>
          <w:sz w:val="32"/>
          <w:szCs w:val="32"/>
        </w:rPr>
        <w:t xml:space="preserve"> Kodeksu wyborczego</w:t>
      </w:r>
      <w:r>
        <w:rPr>
          <w:rFonts w:eastAsia="Times New Roman"/>
          <w:sz w:val="32"/>
          <w:szCs w:val="32"/>
        </w:rPr>
        <w:t xml:space="preserve"> </w:t>
      </w:r>
      <w:r>
        <w:t>(</w:t>
      </w:r>
      <w:r>
        <w:rPr>
          <w:sz w:val="32"/>
          <w:szCs w:val="32"/>
        </w:rPr>
        <w:t>t.j</w:t>
      </w:r>
      <w:r>
        <w:rPr>
          <w:sz w:val="32"/>
          <w:szCs w:val="32"/>
        </w:rPr>
        <w:t>. Dz.U. z 2017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r. poz. 15</w:t>
      </w:r>
      <w:r>
        <w:rPr>
          <w:sz w:val="32"/>
          <w:szCs w:val="32"/>
        </w:rPr>
        <w:t xml:space="preserve"> i 1089</w:t>
      </w:r>
      <w:r>
        <w:rPr>
          <w:sz w:val="32"/>
          <w:szCs w:val="32"/>
        </w:rPr>
        <w:t>)</w:t>
      </w:r>
      <w:r>
        <w:rPr>
          <w:rFonts w:eastAsia="Times New Roman"/>
          <w:sz w:val="32"/>
          <w:szCs w:val="32"/>
        </w:rPr>
        <w:t xml:space="preserve">, a także w </w:t>
      </w:r>
      <w:r>
        <w:rPr>
          <w:rFonts w:eastAsia="Times New Roman"/>
          <w:sz w:val="32"/>
          <w:szCs w:val="32"/>
        </w:rPr>
        <w:t>§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5 ust.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3</w:t>
      </w:r>
      <w:r>
        <w:rPr>
          <w:rFonts w:eastAsia="Times New Roman"/>
          <w:sz w:val="32"/>
          <w:szCs w:val="32"/>
        </w:rPr>
        <w:t>-</w:t>
      </w:r>
      <w:r>
        <w:rPr>
          <w:rFonts w:eastAsia="Times New Roman"/>
          <w:sz w:val="32"/>
          <w:szCs w:val="32"/>
        </w:rPr>
        <w:t>5</w:t>
      </w:r>
      <w:r>
        <w:rPr>
          <w:rFonts w:eastAsia="Times New Roman"/>
          <w:sz w:val="32"/>
          <w:szCs w:val="32"/>
        </w:rPr>
        <w:t xml:space="preserve"> i w </w:t>
      </w:r>
      <w:r>
        <w:rPr>
          <w:rFonts w:eastAsia="Times New Roman"/>
          <w:sz w:val="32"/>
          <w:szCs w:val="32"/>
        </w:rPr>
        <w:t>§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1</w:t>
      </w:r>
      <w:r>
        <w:rPr>
          <w:rFonts w:eastAsia="Times New Roman"/>
          <w:sz w:val="32"/>
          <w:szCs w:val="32"/>
        </w:rPr>
        <w:t>4 ust.</w:t>
      </w:r>
      <w:r>
        <w:rPr>
          <w:rFonts w:eastAsia="Times New Roman"/>
          <w:sz w:val="32"/>
          <w:szCs w:val="32"/>
        </w:rPr>
        <w:t xml:space="preserve"> 2 i </w:t>
      </w:r>
      <w:r>
        <w:rPr>
          <w:rFonts w:eastAsia="Times New Roman"/>
          <w:sz w:val="32"/>
          <w:szCs w:val="32"/>
        </w:rPr>
        <w:t xml:space="preserve">3 uchwały Państwowej </w:t>
      </w:r>
      <w:r>
        <w:rPr>
          <w:rFonts w:eastAsia="Times New Roman"/>
          <w:sz w:val="32"/>
          <w:szCs w:val="32"/>
        </w:rPr>
        <w:t xml:space="preserve">Komisji Wyborczej </w:t>
      </w:r>
      <w:r>
        <w:rPr>
          <w:rFonts w:eastAsia="Times New Roman"/>
          <w:sz w:val="32"/>
          <w:szCs w:val="32"/>
        </w:rPr>
        <w:br/>
      </w:r>
      <w:r>
        <w:rPr>
          <w:rFonts w:eastAsia="Times New Roman"/>
          <w:sz w:val="32"/>
          <w:szCs w:val="32"/>
        </w:rPr>
        <w:t>z dnia 25 sierpnia 2014 r. w sprawie sposobu zgłaszania kandydatów na członków komisji wyborczych, wzoru zgłoszenia oraz zasad powoływania terytorialnych komisji wyborczych i obwodowych komisji wyborczych w wyborach do rad gmin, rad powiatów, sejmików wojewó</w:t>
      </w:r>
      <w:r>
        <w:rPr>
          <w:rFonts w:eastAsia="Times New Roman"/>
          <w:sz w:val="32"/>
          <w:szCs w:val="32"/>
        </w:rPr>
        <w:t>dztw i rad dzielnic m.</w:t>
      </w:r>
      <w:r>
        <w:rPr>
          <w:rFonts w:eastAsia="Times New Roman"/>
          <w:sz w:val="32"/>
          <w:szCs w:val="32"/>
        </w:rPr>
        <w:t>st.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Warszawy oraz w wyborach wójtów, burmistrzów i prezydentów miast (M.P.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z 2014 r. poz.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783,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z 2016 r. poz.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1007).</w:t>
      </w:r>
    </w:p>
    <w:p>
      <w:pPr>
        <w:pStyle w:val="style0"/>
        <w:ind w:firstLine="708"/>
        <w:jc w:val="both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Zgłoszenie kandyda</w:t>
      </w:r>
      <w:r>
        <w:rPr>
          <w:rFonts w:eastAsia="Times New Roman"/>
          <w:sz w:val="32"/>
          <w:szCs w:val="32"/>
        </w:rPr>
        <w:t xml:space="preserve">ta na członka komisji sporządza </w:t>
      </w:r>
      <w:r>
        <w:rPr>
          <w:rFonts w:eastAsia="Times New Roman"/>
          <w:sz w:val="32"/>
          <w:szCs w:val="32"/>
        </w:rPr>
        <w:t xml:space="preserve">osobiście zainteresowany wyborca według wzoru określonego w załączniku Nr </w:t>
      </w:r>
      <w:r>
        <w:rPr>
          <w:rFonts w:eastAsia="Times New Roman"/>
          <w:sz w:val="32"/>
          <w:szCs w:val="32"/>
        </w:rPr>
        <w:t>2</w:t>
      </w:r>
      <w:r>
        <w:rPr>
          <w:rFonts w:eastAsia="Times New Roman"/>
          <w:sz w:val="32"/>
          <w:szCs w:val="32"/>
        </w:rPr>
        <w:t xml:space="preserve"> do w/w uchwały Państwowej Komisji Wyborczej.</w:t>
      </w:r>
      <w:r>
        <w:rPr>
          <w:rFonts w:eastAsia="Times New Roman"/>
          <w:sz w:val="32"/>
          <w:szCs w:val="32"/>
        </w:rPr>
        <w:t xml:space="preserve"> </w:t>
      </w:r>
    </w:p>
    <w:p>
      <w:pPr>
        <w:pStyle w:val="style0"/>
        <w:ind w:firstLine="708"/>
        <w:jc w:val="both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Zgłoszenia będą przyjmowane w Urzędzie Miejskim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w Chojnicach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 xml:space="preserve">przy </w:t>
      </w:r>
      <w:r>
        <w:rPr>
          <w:rFonts w:eastAsia="Times New Roman"/>
          <w:sz w:val="32"/>
          <w:szCs w:val="32"/>
        </w:rPr>
        <w:t>Starym Rynku 1</w:t>
      </w:r>
      <w:r>
        <w:rPr>
          <w:rFonts w:eastAsia="Times New Roman"/>
          <w:sz w:val="32"/>
          <w:szCs w:val="32"/>
        </w:rPr>
        <w:t xml:space="preserve"> pok. nr </w:t>
      </w:r>
      <w:r>
        <w:rPr>
          <w:rFonts w:eastAsia="Times New Roman"/>
          <w:sz w:val="32"/>
          <w:szCs w:val="32"/>
        </w:rPr>
        <w:t>407</w:t>
      </w:r>
      <w:r>
        <w:rPr>
          <w:rFonts w:eastAsia="Times New Roman"/>
          <w:sz w:val="32"/>
          <w:szCs w:val="32"/>
        </w:rPr>
        <w:t xml:space="preserve"> do dnia </w:t>
      </w:r>
      <w:r>
        <w:rPr>
          <w:rFonts w:eastAsia="Times New Roman"/>
          <w:sz w:val="32"/>
          <w:szCs w:val="32"/>
        </w:rPr>
        <w:t>27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 xml:space="preserve">lipca </w:t>
      </w:r>
      <w:r>
        <w:rPr>
          <w:rFonts w:eastAsia="Times New Roman"/>
          <w:sz w:val="32"/>
          <w:szCs w:val="32"/>
        </w:rPr>
        <w:t xml:space="preserve">2017 </w:t>
      </w:r>
      <w:r>
        <w:rPr>
          <w:rFonts w:eastAsia="Times New Roman"/>
          <w:sz w:val="32"/>
          <w:szCs w:val="32"/>
        </w:rPr>
        <w:t>r. do godz.</w:t>
      </w:r>
      <w:r>
        <w:rPr>
          <w:rFonts w:eastAsia="Times New Roman"/>
          <w:sz w:val="32"/>
          <w:szCs w:val="32"/>
        </w:rPr>
        <w:t xml:space="preserve"> 12.00.</w:t>
      </w:r>
    </w:p>
    <w:p>
      <w:pPr>
        <w:pStyle w:val="style0"/>
        <w:ind w:firstLine="708"/>
        <w:jc w:val="both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 </w:t>
      </w:r>
      <w:r>
        <w:rPr>
          <w:rFonts w:eastAsia="Times New Roman"/>
          <w:sz w:val="32"/>
          <w:szCs w:val="32"/>
        </w:rPr>
        <w:t>powołaniu do składu k</w:t>
      </w:r>
      <w:r>
        <w:rPr>
          <w:rFonts w:eastAsia="Times New Roman"/>
          <w:sz w:val="32"/>
          <w:szCs w:val="32"/>
        </w:rPr>
        <w:t>omisji decydować będzie kolejność zgłoszeń</w:t>
      </w:r>
      <w:r>
        <w:rPr>
          <w:rFonts w:eastAsia="Times New Roman"/>
          <w:sz w:val="32"/>
          <w:szCs w:val="32"/>
        </w:rPr>
        <w:t>.</w:t>
      </w:r>
    </w:p>
    <w:p>
      <w:pPr>
        <w:pStyle w:val="style0"/>
        <w:jc w:val="both"/>
        <w:rPr>
          <w:sz w:val="36"/>
          <w:szCs w:val="36"/>
        </w:rPr>
      </w:pPr>
    </w:p>
    <w:p>
      <w:pPr>
        <w:pStyle w:val="style0"/>
        <w:spacing w:after="200"/>
        <w:jc w:val="both"/>
        <w:contextualSpacing/>
        <w:rPr>
          <w:sz w:val="24"/>
          <w:szCs w:val="24"/>
          <w:lang w:eastAsia="en-US"/>
        </w:rPr>
      </w:pPr>
    </w:p>
    <w:tbl>
      <w:tblPr>
        <w:tblStyle w:val="style154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6"/>
      </w:tblGrid>
      <w:tr>
        <w:trPr/>
        <w:tc>
          <w:tcPr>
            <w:tcW w:w="4426" w:type="dxa"/>
            <w:tcBorders/>
          </w:tcPr>
          <w:p>
            <w:pPr>
              <w:pStyle w:val="style0"/>
              <w:jc w:val="center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Przewodniczący</w:t>
            </w:r>
          </w:p>
        </w:tc>
      </w:tr>
      <w:tr>
        <w:tblPrEx/>
        <w:trPr/>
        <w:tc>
          <w:tcPr>
            <w:tcW w:w="4426" w:type="dxa"/>
            <w:tcBorders/>
          </w:tcPr>
          <w:p>
            <w:pPr>
              <w:pStyle w:val="style0"/>
              <w:jc w:val="center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Miejskiej Komisji Wyborczej</w:t>
            </w:r>
          </w:p>
          <w:p>
            <w:pPr>
              <w:pStyle w:val="style0"/>
              <w:jc w:val="center"/>
              <w:contextualSpacing/>
              <w:rPr>
                <w:sz w:val="24"/>
                <w:szCs w:val="24"/>
              </w:rPr>
            </w:pPr>
          </w:p>
          <w:p>
            <w:pPr>
              <w:pStyle w:val="style0"/>
              <w:jc w:val="center"/>
              <w:contextualSpacing/>
              <w:rPr>
                <w:sz w:val="24"/>
                <w:szCs w:val="24"/>
              </w:rPr>
            </w:pPr>
          </w:p>
        </w:tc>
      </w:tr>
      <w:tr>
        <w:tblPrEx/>
        <w:trPr/>
        <w:tc>
          <w:tcPr>
            <w:tcW w:w="4426" w:type="dxa"/>
            <w:tcBorders/>
          </w:tcPr>
          <w:p>
            <w:pPr>
              <w:pStyle w:val="style0"/>
              <w:spacing w:lineRule="auto" w:line="360"/>
              <w:jc w:val="center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 - / </w:t>
            </w:r>
            <w:bookmarkStart w:id="0" w:name="_GoBack"/>
            <w:bookmarkEnd w:id="0"/>
            <w:r>
              <w:rPr>
                <w:sz w:val="24"/>
                <w:szCs w:val="24"/>
              </w:rPr>
              <w:t>Czesław Klauzo</w:t>
            </w:r>
          </w:p>
        </w:tc>
      </w:tr>
    </w:tbl>
    <w:p>
      <w:pPr>
        <w:pStyle w:val="style4105"/>
        <w:jc w:val="both"/>
        <w:rPr>
          <w:sz w:val="36"/>
          <w:szCs w:val="36"/>
        </w:rPr>
      </w:pPr>
    </w:p>
    <w:sectPr>
      <w:pgSz w:w="11906" w:h="16838" w:orient="portrait" w:code="9"/>
      <w:pgMar w:top="993" w:right="1133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ee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ee"/>
    <w:family w:val="roman"/>
    <w:pitch w:val="variable"/>
    <w:sig w:usb0="E00002FF" w:usb1="400004FF" w:usb2="00000000" w:usb3="00000000" w:csb0="0000019F" w:csb1="00000000"/>
  </w:font>
  <w:font w:name="Arial Narrow">
    <w:altName w:val="Arial Narrow"/>
    <w:panose1 w:val="020b0606020002030204"/>
    <w:charset w:val="ee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005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nforcement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Calibri" w:hAnsi="Calibri"/>
        <w:lang w:val="pl-PL" w:bidi="ar-SA" w:eastAsia="pl-PL"/>
      </w:rPr>
    </w:rPrDefault>
    <w:pPrDefault>
      <w:pPr/>
    </w:pPrDefault>
  </w:docDefaults>
  <w:style w:type="paragraph" w:default="1" w:styleId="style0">
    <w:name w:val="Normal"/>
    <w:next w:val="style0"/>
    <w:qFormat/>
    <w:pPr/>
    <w:rPr>
      <w:rFonts w:ascii="Times New Roman" w:hAnsi="Times New Roman"/>
      <w:sz w:val="22"/>
      <w:szCs w:val="26"/>
    </w:rPr>
  </w:style>
  <w:style w:type="paragraph" w:styleId="style1">
    <w:name w:val="heading 1"/>
    <w:basedOn w:val="style0"/>
    <w:next w:val="style0"/>
    <w:link w:val="style4097"/>
    <w:qFormat/>
    <w:pPr>
      <w:keepNext/>
      <w:jc w:val="center"/>
      <w:outlineLvl w:val="0"/>
    </w:pPr>
    <w:rPr>
      <w:b/>
      <w:bCs/>
      <w:sz w:val="24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spacing w:before="240" w:after="60"/>
      <w:outlineLvl w:val="2"/>
    </w:pPr>
    <w:rPr>
      <w:rFonts w:ascii="Cambria" w:hAnsi="Cambria"/>
      <w:b/>
      <w:bCs/>
      <w:sz w:val="26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style5">
    <w:name w:val="heading 5"/>
    <w:basedOn w:val="style0"/>
    <w:next w:val="style0"/>
    <w:link w:val="style4101"/>
    <w:qFormat/>
    <w:uiPriority w:val="9"/>
    <w:pPr>
      <w:spacing w:before="240" w:after="60"/>
      <w:outlineLvl w:val="4"/>
    </w:pPr>
    <w:rPr>
      <w:rFonts w:ascii="Calibri" w:hAnsi="Calibri"/>
      <w:b/>
      <w:bCs/>
      <w:i/>
      <w:iCs/>
      <w:sz w:val="2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Nagłówek 1 Znak"/>
    <w:next w:val="style4097"/>
    <w:link w:val="style1"/>
    <w:rPr>
      <w:rFonts w:ascii="Times New Roman" w:eastAsia="Times New Roman" w:hAnsi="Times New Roman"/>
      <w:b/>
      <w:bCs/>
      <w:sz w:val="24"/>
    </w:rPr>
  </w:style>
  <w:style w:type="character" w:customStyle="1" w:styleId="style4098">
    <w:name w:val="Nagłówek 2 Znak"/>
    <w:next w:val="style4098"/>
    <w:link w:val="style2"/>
    <w:uiPriority w:val="9"/>
    <w:rPr>
      <w:rFonts w:ascii="Cambria" w:cs="Times New Roman" w:eastAsia="Times New Roman" w:hAnsi="Cambria"/>
      <w:b/>
      <w:bCs/>
      <w:i/>
      <w:iCs/>
      <w:sz w:val="28"/>
      <w:szCs w:val="28"/>
    </w:rPr>
  </w:style>
  <w:style w:type="character" w:customStyle="1" w:styleId="style4099">
    <w:name w:val="Nagłówek 3 Znak"/>
    <w:next w:val="style4099"/>
    <w:link w:val="style3"/>
    <w:uiPriority w:val="9"/>
    <w:rPr>
      <w:rFonts w:ascii="Cambria" w:cs="Times New Roman" w:eastAsia="Times New Roman" w:hAnsi="Cambria"/>
      <w:b/>
      <w:bCs/>
      <w:sz w:val="26"/>
      <w:szCs w:val="26"/>
    </w:rPr>
  </w:style>
  <w:style w:type="character" w:customStyle="1" w:styleId="style4100">
    <w:name w:val="Nagłówek 4 Znak"/>
    <w:next w:val="style4100"/>
    <w:link w:val="style4"/>
    <w:uiPriority w:val="9"/>
    <w:rPr>
      <w:rFonts w:ascii="Calibri" w:cs="Times New Roman" w:eastAsia="Times New Roman" w:hAnsi="Calibri"/>
      <w:b/>
      <w:bCs/>
      <w:sz w:val="28"/>
      <w:szCs w:val="28"/>
    </w:rPr>
  </w:style>
  <w:style w:type="character" w:customStyle="1" w:styleId="style4101">
    <w:name w:val="Nagłówek 5 Znak"/>
    <w:next w:val="style4101"/>
    <w:link w:val="style5"/>
    <w:uiPriority w:val="9"/>
    <w:rPr>
      <w:rFonts w:ascii="Calibri" w:cs="Times New Roman" w:eastAsia="Times New Roman" w:hAnsi="Calibri"/>
      <w:b/>
      <w:bCs/>
      <w:i/>
      <w:iCs/>
      <w:sz w:val="26"/>
      <w:szCs w:val="26"/>
    </w:rPr>
  </w:style>
  <w:style w:type="paragraph" w:styleId="style62">
    <w:name w:val="Title"/>
    <w:basedOn w:val="style0"/>
    <w:next w:val="style62"/>
    <w:link w:val="style4102"/>
    <w:qFormat/>
    <w:pPr>
      <w:suppressAutoHyphens/>
      <w:overflowPunct w:val="false"/>
      <w:autoSpaceDE w:val="false"/>
      <w:autoSpaceDN w:val="false"/>
      <w:adjustRightInd w:val="false"/>
      <w:jc w:val="center"/>
      <w:textAlignment w:val="baseline"/>
    </w:pPr>
    <w:rPr>
      <w:rFonts w:ascii="Arial Narrow" w:hAnsi="Arial Narrow"/>
      <w:b/>
    </w:rPr>
  </w:style>
  <w:style w:type="character" w:customStyle="1" w:styleId="style4102">
    <w:name w:val="Tytuł Znak"/>
    <w:next w:val="style4102"/>
    <w:link w:val="style62"/>
    <w:rPr>
      <w:rFonts w:ascii="Arial Narrow" w:eastAsia="Times New Roman" w:hAnsi="Arial Narrow"/>
      <w:b/>
      <w:sz w:val="22"/>
    </w:rPr>
  </w:style>
  <w:style w:type="paragraph" w:styleId="style74">
    <w:name w:val="Subtitle"/>
    <w:basedOn w:val="style0"/>
    <w:next w:val="style74"/>
    <w:link w:val="style4103"/>
    <w:qFormat/>
    <w:pPr>
      <w:widowControl w:val="false"/>
      <w:jc w:val="center"/>
    </w:pPr>
    <w:rPr>
      <w:rFonts w:ascii="Verdana" w:hAnsi="Verdana"/>
      <w:b/>
      <w:snapToGrid w:val="false"/>
      <w:sz w:val="24"/>
    </w:rPr>
  </w:style>
  <w:style w:type="character" w:customStyle="1" w:styleId="style4103">
    <w:name w:val="Podtytuł Znak"/>
    <w:next w:val="style4103"/>
    <w:link w:val="style74"/>
    <w:rPr>
      <w:rFonts w:ascii="Verdana" w:eastAsia="Times New Roman" w:hAnsi="Verdana"/>
      <w:b/>
      <w:snapToGrid w:val="false"/>
      <w:sz w:val="24"/>
      <w:szCs w:val="24"/>
    </w:rPr>
  </w:style>
  <w:style w:type="character" w:styleId="style87">
    <w:name w:val="Strong"/>
    <w:next w:val="style87"/>
    <w:qFormat/>
    <w:uiPriority w:val="22"/>
    <w:rPr>
      <w:b/>
      <w:bCs w:val="false"/>
    </w:rPr>
  </w:style>
  <w:style w:type="paragraph" w:styleId="style157">
    <w:name w:val="No Spacing"/>
    <w:next w:val="style157"/>
    <w:link w:val="style4104"/>
    <w:qFormat/>
    <w:uiPriority w:val="1"/>
    <w:pPr/>
    <w:rPr>
      <w:rFonts w:ascii="Times New Roman" w:hAnsi="Times New Roman"/>
      <w:sz w:val="24"/>
      <w:szCs w:val="24"/>
    </w:rPr>
  </w:style>
  <w:style w:type="character" w:customStyle="1" w:styleId="style4104">
    <w:name w:val="Bez odstępów Znak"/>
    <w:next w:val="style4104"/>
    <w:link w:val="style157"/>
    <w:uiPriority w:val="1"/>
    <w:rPr>
      <w:rFonts w:ascii="Times New Roman" w:eastAsia="Times New Roman" w:hAnsi="Times New Roman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spacing w:after="200" w:lineRule="auto" w:line="276"/>
      <w:ind w:left="720"/>
      <w:contextualSpacing/>
    </w:pPr>
    <w:rPr>
      <w:rFonts w:ascii="Calibri" w:hAnsi="Calibri"/>
      <w:szCs w:val="22"/>
    </w:rPr>
  </w:style>
  <w:style w:type="paragraph" w:customStyle="1" w:styleId="style4105">
    <w:name w:val="Default"/>
    <w:next w:val="style4105"/>
    <w:pPr>
      <w:autoSpaceDE w:val="false"/>
      <w:autoSpaceDN w:val="false"/>
      <w:adjustRightInd w:val="false"/>
    </w:pPr>
    <w:rPr>
      <w:rFonts w:ascii="Cambria" w:cs="Cambria" w:hAnsi="Cambria"/>
      <w:color w:val="000000"/>
      <w:sz w:val="24"/>
      <w:szCs w:val="24"/>
    </w:rPr>
  </w:style>
  <w:style w:type="table" w:styleId="style154">
    <w:name w:val="Table Grid"/>
    <w:basedOn w:val="style105"/>
    <w:next w:val="style154"/>
    <w:uiPriority w:val="59"/>
    <w:pPr/>
    <w:rPr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91936-E924-4718-89A0-09D80E2B4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256</Words>
  <Characters>1404</Characters>
  <Application>WPS Office</Application>
  <DocSecurity>0</DocSecurity>
  <Paragraphs>19</Paragraphs>
  <ScaleCrop>false</ScaleCrop>
  <LinksUpToDate>false</LinksUpToDate>
  <CharactersWithSpaces>1656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2017-07-24T09:43:55Z</dcterms:created>
  <dc:creator>Mariusz</dc:creator>
  <lastModifiedBy>HUAWEI VNS-L21</lastModifiedBy>
  <lastPrinted>2017-07-24T08:40:00Z</lastPrinted>
  <dcterms:modified xsi:type="dcterms:W3CDTF">2017-07-24T09:43:55Z</dcterms:modified>
  <revision>11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