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7C59" w:rsidRPr="00E74C94" w:rsidRDefault="009B7C59" w:rsidP="009B7C59">
      <w:pPr>
        <w:spacing w:after="0" w:line="240" w:lineRule="auto"/>
        <w:rPr>
          <w:rFonts w:ascii="Calibri" w:hAnsi="Calibri" w:cs="Courier New"/>
          <w:szCs w:val="20"/>
          <w:lang w:val="en-US"/>
        </w:rPr>
      </w:pPr>
      <w:r w:rsidRPr="00E74C94">
        <w:rPr>
          <w:rFonts w:ascii="Calibri" w:hAnsi="Calibri" w:cs="Courier New"/>
          <w:szCs w:val="20"/>
          <w:lang w:val="en-US"/>
        </w:rPr>
        <w:t>B&amp;B Jan</w:t>
      </w:r>
      <w:r>
        <w:rPr>
          <w:rFonts w:ascii="Calibri" w:hAnsi="Calibri" w:cs="Courier New"/>
          <w:szCs w:val="20"/>
          <w:lang w:val="en-US"/>
        </w:rPr>
        <w:t xml:space="preserve"> Burglin</w:t>
      </w:r>
      <w:r w:rsidRPr="00E74C94">
        <w:rPr>
          <w:rFonts w:ascii="Calibri" w:hAnsi="Calibri" w:cs="Courier New"/>
          <w:szCs w:val="20"/>
          <w:lang w:val="en-US"/>
        </w:rPr>
        <w:tab/>
      </w:r>
      <w:r>
        <w:rPr>
          <w:rFonts w:ascii="Calibri" w:hAnsi="Calibri" w:cs="Courier New"/>
          <w:szCs w:val="20"/>
          <w:lang w:val="en-US"/>
        </w:rPr>
        <w:tab/>
      </w:r>
      <w:r>
        <w:rPr>
          <w:rFonts w:ascii="Calibri" w:hAnsi="Calibri" w:cs="Courier New"/>
          <w:szCs w:val="20"/>
          <w:lang w:val="en-US"/>
        </w:rPr>
        <w:tab/>
      </w:r>
      <w:r w:rsidRPr="00E74C94">
        <w:rPr>
          <w:rFonts w:ascii="Calibri" w:hAnsi="Calibri" w:cs="Courier New"/>
          <w:szCs w:val="20"/>
          <w:lang w:val="en-US"/>
        </w:rPr>
        <w:tab/>
      </w:r>
      <w:r w:rsidRPr="00E74C94">
        <w:rPr>
          <w:rFonts w:ascii="Calibri" w:hAnsi="Calibri" w:cs="Courier New"/>
          <w:szCs w:val="20"/>
          <w:lang w:val="en-US"/>
        </w:rPr>
        <w:tab/>
      </w:r>
      <w:r w:rsidRPr="00E74C94">
        <w:rPr>
          <w:rFonts w:ascii="Calibri" w:hAnsi="Calibri" w:cs="Courier New"/>
          <w:szCs w:val="20"/>
          <w:lang w:val="en-US"/>
        </w:rPr>
        <w:tab/>
      </w:r>
      <w:r w:rsidRPr="00E74C94">
        <w:rPr>
          <w:rFonts w:ascii="Calibri" w:hAnsi="Calibri" w:cs="Courier New"/>
          <w:szCs w:val="20"/>
          <w:lang w:val="en-US"/>
        </w:rPr>
        <w:tab/>
      </w:r>
      <w:r w:rsidRPr="00E74C94">
        <w:rPr>
          <w:rFonts w:ascii="Calibri" w:hAnsi="Calibri" w:cs="Courier New"/>
          <w:szCs w:val="20"/>
          <w:lang w:val="en-US"/>
        </w:rPr>
        <w:tab/>
      </w:r>
      <w:r w:rsidRPr="00E74C94">
        <w:rPr>
          <w:rFonts w:ascii="Calibri" w:hAnsi="Calibri"/>
          <w:lang w:val="en-US"/>
        </w:rPr>
        <w:t>Chojnice,</w:t>
      </w:r>
      <w:r w:rsidR="00D45DA5">
        <w:rPr>
          <w:rFonts w:ascii="Calibri" w:hAnsi="Calibri"/>
          <w:lang w:val="en-US"/>
        </w:rPr>
        <w:t>18.03</w:t>
      </w:r>
      <w:r w:rsidRPr="00E74C94">
        <w:rPr>
          <w:rFonts w:ascii="Calibri" w:hAnsi="Calibri"/>
          <w:lang w:val="en-US"/>
        </w:rPr>
        <w:t>.202</w:t>
      </w:r>
      <w:r w:rsidR="00D45DA5">
        <w:rPr>
          <w:rFonts w:ascii="Calibri" w:hAnsi="Calibri"/>
          <w:lang w:val="en-US"/>
        </w:rPr>
        <w:t>2</w:t>
      </w:r>
      <w:bookmarkStart w:id="0" w:name="_GoBack"/>
      <w:bookmarkEnd w:id="0"/>
      <w:r w:rsidRPr="00E74C94">
        <w:rPr>
          <w:rFonts w:ascii="Calibri" w:hAnsi="Calibri"/>
          <w:lang w:val="en-US"/>
        </w:rPr>
        <w:t xml:space="preserve"> r.</w:t>
      </w:r>
    </w:p>
    <w:p w:rsidR="009B7C59" w:rsidRPr="00781AD0" w:rsidRDefault="009B7C59" w:rsidP="009B7C59">
      <w:pPr>
        <w:spacing w:after="0" w:line="240" w:lineRule="auto"/>
        <w:rPr>
          <w:rFonts w:ascii="Calibri" w:hAnsi="Calibri" w:cs="Courier New"/>
          <w:szCs w:val="20"/>
        </w:rPr>
      </w:pPr>
      <w:r>
        <w:rPr>
          <w:rFonts w:ascii="Calibri" w:hAnsi="Calibri" w:cs="Courier New"/>
          <w:szCs w:val="20"/>
        </w:rPr>
        <w:t>Ul. Angowicka 68, 89-600 Chojnice</w:t>
      </w:r>
    </w:p>
    <w:p w:rsidR="009B7C59" w:rsidRPr="00347D41" w:rsidRDefault="009B7C59" w:rsidP="009B7C59">
      <w:pPr>
        <w:spacing w:after="0" w:line="240" w:lineRule="auto"/>
        <w:rPr>
          <w:rFonts w:ascii="Calibri" w:hAnsi="Calibri" w:cs="Courier New"/>
          <w:szCs w:val="20"/>
        </w:rPr>
      </w:pPr>
      <w:r w:rsidRPr="00347D41">
        <w:rPr>
          <w:rFonts w:ascii="Calibri" w:hAnsi="Calibri" w:cs="Courier New"/>
          <w:szCs w:val="20"/>
        </w:rPr>
        <w:t>Nr tel. 52 397 37 30</w:t>
      </w:r>
    </w:p>
    <w:p w:rsidR="009B7C59" w:rsidRPr="00347D41" w:rsidRDefault="009B7C59" w:rsidP="009B7C59">
      <w:pPr>
        <w:spacing w:after="0" w:line="240" w:lineRule="auto"/>
        <w:rPr>
          <w:rFonts w:ascii="Calibri" w:hAnsi="Calibri" w:cs="Courier New"/>
          <w:szCs w:val="20"/>
        </w:rPr>
      </w:pPr>
      <w:r w:rsidRPr="00347D41">
        <w:rPr>
          <w:rFonts w:ascii="Calibri" w:hAnsi="Calibri" w:cs="Courier New"/>
          <w:szCs w:val="20"/>
        </w:rPr>
        <w:t>e-mail: burglin@o2.pl</w:t>
      </w:r>
    </w:p>
    <w:p w:rsidR="009B7C59" w:rsidRPr="00347D41" w:rsidRDefault="009B7C59" w:rsidP="009B7C59">
      <w:pPr>
        <w:tabs>
          <w:tab w:val="left" w:pos="8295"/>
        </w:tabs>
        <w:rPr>
          <w:rFonts w:ascii="Calibri" w:hAnsi="Calibri"/>
          <w:b/>
          <w:color w:val="000000"/>
        </w:rPr>
      </w:pPr>
      <w:r w:rsidRPr="00347D41">
        <w:rPr>
          <w:rFonts w:ascii="Calibri" w:hAnsi="Calibri"/>
          <w:b/>
          <w:color w:val="000000"/>
        </w:rPr>
        <w:tab/>
      </w:r>
      <w:r w:rsidRPr="00347D41">
        <w:rPr>
          <w:rFonts w:ascii="Calibri" w:hAnsi="Calibri"/>
          <w:b/>
          <w:color w:val="000000"/>
        </w:rPr>
        <w:tab/>
      </w:r>
    </w:p>
    <w:p w:rsidR="009B7C59" w:rsidRPr="00347D41" w:rsidRDefault="009B7C59" w:rsidP="009B7C59">
      <w:pPr>
        <w:pStyle w:val="Bezodstpw"/>
        <w:rPr>
          <w:rFonts w:ascii="Calibri" w:hAnsi="Calibri"/>
          <w:color w:val="000000"/>
        </w:rPr>
      </w:pPr>
      <w:r w:rsidRPr="00347D41">
        <w:rPr>
          <w:rFonts w:ascii="Calibri" w:hAnsi="Calibri"/>
          <w:color w:val="000000"/>
        </w:rPr>
        <w:tab/>
      </w:r>
    </w:p>
    <w:p w:rsidR="009B7C59" w:rsidRPr="00D25D0C" w:rsidRDefault="009B7C59" w:rsidP="009B7C59">
      <w:pPr>
        <w:pStyle w:val="Bezodstpw"/>
        <w:spacing w:line="480" w:lineRule="auto"/>
        <w:ind w:left="4961"/>
        <w:jc w:val="center"/>
        <w:rPr>
          <w:rFonts w:ascii="Calibri" w:hAnsi="Calibri"/>
          <w:b/>
          <w:bCs/>
          <w:color w:val="000000"/>
          <w:sz w:val="32"/>
          <w:szCs w:val="32"/>
        </w:rPr>
      </w:pPr>
      <w:r w:rsidRPr="00D25D0C">
        <w:rPr>
          <w:rFonts w:ascii="Calibri" w:hAnsi="Calibri"/>
          <w:b/>
          <w:bCs/>
          <w:color w:val="000000"/>
          <w:sz w:val="32"/>
          <w:szCs w:val="32"/>
        </w:rPr>
        <w:t>Urząd Miejski w Chojnicach</w:t>
      </w:r>
    </w:p>
    <w:p w:rsidR="009B7C59" w:rsidRPr="00D25D0C" w:rsidRDefault="009B7C59" w:rsidP="009B7C59">
      <w:pPr>
        <w:pStyle w:val="Bezodstpw"/>
        <w:spacing w:line="480" w:lineRule="auto"/>
        <w:ind w:left="4961"/>
        <w:jc w:val="center"/>
        <w:rPr>
          <w:rFonts w:ascii="Calibri" w:hAnsi="Calibri"/>
          <w:color w:val="000000"/>
          <w:sz w:val="32"/>
          <w:szCs w:val="32"/>
        </w:rPr>
      </w:pPr>
      <w:r w:rsidRPr="00D25D0C">
        <w:rPr>
          <w:rFonts w:ascii="Calibri" w:hAnsi="Calibri"/>
          <w:color w:val="000000"/>
          <w:sz w:val="32"/>
          <w:szCs w:val="32"/>
        </w:rPr>
        <w:t>Stary Rynek 1</w:t>
      </w:r>
    </w:p>
    <w:p w:rsidR="009B7C59" w:rsidRPr="00D25D0C" w:rsidRDefault="009B7C59" w:rsidP="009B7C59">
      <w:pPr>
        <w:pStyle w:val="Bezodstpw"/>
        <w:spacing w:line="480" w:lineRule="auto"/>
        <w:ind w:left="4961"/>
        <w:jc w:val="center"/>
        <w:rPr>
          <w:rFonts w:ascii="Calibri" w:hAnsi="Calibri"/>
          <w:color w:val="000000"/>
          <w:sz w:val="32"/>
          <w:szCs w:val="32"/>
        </w:rPr>
      </w:pPr>
      <w:r w:rsidRPr="00D25D0C">
        <w:rPr>
          <w:rFonts w:ascii="Calibri" w:hAnsi="Calibri"/>
          <w:color w:val="000000"/>
          <w:sz w:val="32"/>
          <w:szCs w:val="32"/>
        </w:rPr>
        <w:t>89-600 Chojnice</w:t>
      </w:r>
    </w:p>
    <w:p w:rsidR="009B7C59" w:rsidRDefault="009B7C59" w:rsidP="00515E2C">
      <w:pPr>
        <w:spacing w:after="0" w:line="240" w:lineRule="auto"/>
        <w:ind w:firstLine="708"/>
        <w:jc w:val="both"/>
      </w:pPr>
    </w:p>
    <w:p w:rsidR="00017A90" w:rsidRDefault="001850C9" w:rsidP="00515E2C">
      <w:pPr>
        <w:spacing w:after="0" w:line="240" w:lineRule="auto"/>
        <w:ind w:firstLine="708"/>
        <w:jc w:val="both"/>
      </w:pPr>
      <w:r>
        <w:t>W odpowiedzi na interpelację Pani Alicji Kreft informuję że zgodnie z obowiązującymi przepisami odprowadzenie wód powierzchniowych to obowiązek prawny, który ciąży nad każdym właścicielem posesji. Konieczność przeprowadzania tego procesu wynika z zapisów ustawy Prawo Wodne .</w:t>
      </w:r>
      <w:r w:rsidRPr="001850C9">
        <w:t xml:space="preserve"> </w:t>
      </w:r>
      <w:r>
        <w:t>Prawo dopuszcza samodzielne odprowadzanie wody deszczowej w głąb posesji, np. na trawnik czy do rowów lub dołów chłonnych aby uzyskać zgodę na odprowadzenie wód opadowych do rzeki właściciel działki winien opracować OPERAT WODNOPRAWNY i uzyskać pozwolenie wodnoprawne</w:t>
      </w:r>
      <w:r w:rsidR="00017A90">
        <w:t>.</w:t>
      </w:r>
    </w:p>
    <w:p w:rsidR="005A0D5F" w:rsidRDefault="00017A90" w:rsidP="00515E2C">
      <w:pPr>
        <w:spacing w:after="0" w:line="240" w:lineRule="auto"/>
        <w:ind w:firstLine="708"/>
        <w:jc w:val="both"/>
      </w:pPr>
      <w:r>
        <w:t xml:space="preserve">W obrębie projektowanej zabudowy rzeki występują rowy melioracyjne wszystkie rowy będące  w ewidencji geodezyjnej zostały </w:t>
      </w:r>
      <w:r w:rsidR="005A0D5F">
        <w:t>przechwycone i wprowadzone do drenaży a następnie wprowadzone do koryta rzeki. Projekt gospodarki wodami opadowymi nie zakładał melioracji działek. Podejrzewam że poprzednich okresach właściciele zasypali rowy melioracyjne na swoich posesjach .</w:t>
      </w:r>
    </w:p>
    <w:p w:rsidR="00017A90" w:rsidRDefault="005A0D5F" w:rsidP="00515E2C">
      <w:pPr>
        <w:spacing w:after="0" w:line="240" w:lineRule="auto"/>
        <w:jc w:val="both"/>
      </w:pPr>
      <w:r>
        <w:t xml:space="preserve">W celu odprowadzenia wód </w:t>
      </w:r>
      <w:r w:rsidR="00A611B8">
        <w:t xml:space="preserve">powierzchniowych należało by wybudować na terenie działki drenaż i rowy co przyspieszy </w:t>
      </w:r>
      <w:r>
        <w:t xml:space="preserve">  </w:t>
      </w:r>
      <w:r w:rsidR="00A611B8">
        <w:t>spływ wód</w:t>
      </w:r>
      <w:r w:rsidR="008C3F65">
        <w:t xml:space="preserve"> a zarazem </w:t>
      </w:r>
      <w:r w:rsidR="00A611B8">
        <w:t>spowoduje mniejsze retencjonowanie wody w gruncie .</w:t>
      </w:r>
      <w:r w:rsidR="00A611B8" w:rsidRPr="00A611B8">
        <w:t xml:space="preserve"> Zarówno likwidacja rowu jak i jego budowa, odbudowa, rozbudowa, przebudowa czy przesunięcie wymagają uzyskania pozwolenia wodnoprawnego (art. 9 ust. 2 pkt 2 prawa wodnego)</w:t>
      </w:r>
      <w:r w:rsidR="00A611B8">
        <w:t xml:space="preserve"> .</w:t>
      </w:r>
      <w:r w:rsidR="00A611B8" w:rsidRPr="00A611B8">
        <w:t xml:space="preserve"> Zgodnie z art. 64  ust. 1 prawa wodnego utrzymywanie urządzeń wodnych polega na ich eksploatacji, </w:t>
      </w:r>
      <w:r w:rsidR="008C3F65">
        <w:t>k</w:t>
      </w:r>
      <w:r w:rsidR="00A611B8" w:rsidRPr="00A611B8">
        <w:t>onserwacji oraz remontach po to, żeby zachowały swoje funkcje. To znaczy, że trzeba dbać, by rowy były zawsze drożne, nie zarastały, należy usuwać z nich suchą trawę, opadłe, liście gałęzie, nadmiar ziemi itp.</w:t>
      </w:r>
      <w:r w:rsidR="008C3F65">
        <w:t xml:space="preserve"> .</w:t>
      </w:r>
    </w:p>
    <w:p w:rsidR="00515E2C" w:rsidRDefault="00515E2C" w:rsidP="00515E2C">
      <w:pPr>
        <w:spacing w:after="0" w:line="240" w:lineRule="auto"/>
        <w:jc w:val="both"/>
      </w:pPr>
      <w:r>
        <w:tab/>
        <w:t>Zabudowę koryta Strugi Jarcewskiej wykonano zgodnie z zatwierdzonym projektem.</w:t>
      </w:r>
    </w:p>
    <w:p w:rsidR="00515E2C" w:rsidRDefault="00515E2C" w:rsidP="00515E2C">
      <w:pPr>
        <w:spacing w:after="0" w:line="240" w:lineRule="auto"/>
        <w:jc w:val="both"/>
      </w:pPr>
      <w:r>
        <w:t>W trakcie budowy nastąpiło „ wysadzenie włazów studziennych ” ale było to spowodowane</w:t>
      </w:r>
      <w:r w:rsidR="00BA5187">
        <w:t xml:space="preserve"> ulewnym deszczem ( w</w:t>
      </w:r>
      <w:r w:rsidR="009B7C59">
        <w:t xml:space="preserve"> czerwcu</w:t>
      </w:r>
      <w:r w:rsidR="00BA5187">
        <w:t xml:space="preserve"> 2020 r ) i zamknięciem odpływu rzeki w celu </w:t>
      </w:r>
      <w:r>
        <w:t>budow</w:t>
      </w:r>
      <w:r w:rsidR="00BA5187">
        <w:t>y</w:t>
      </w:r>
      <w:r>
        <w:t xml:space="preserve"> przejścia kolektora pod ulicą Zieloną</w:t>
      </w:r>
      <w:r w:rsidR="00BA5187">
        <w:t>. Po tym okresie nie stwierdzono „ wysadzenie włazów studziennych ”.</w:t>
      </w:r>
    </w:p>
    <w:p w:rsidR="00BA5187" w:rsidRDefault="00BA5187" w:rsidP="00515E2C">
      <w:pPr>
        <w:spacing w:after="0" w:line="240" w:lineRule="auto"/>
        <w:jc w:val="both"/>
      </w:pPr>
      <w:r>
        <w:tab/>
      </w:r>
      <w:r w:rsidR="00F501AC">
        <w:t>Zgodnie z harmonogramem robót wykonawca budowy zbiornika retencyjnego „Sobierajczyka” właśnie przystępuje do budowy zastawek w Parku Tysiąclecia i na przedmiotowym zbiorniku  co umożli</w:t>
      </w:r>
      <w:r w:rsidR="009B7C59">
        <w:t>wi retencjonowanie wód w południowej części miasta.</w:t>
      </w:r>
    </w:p>
    <w:p w:rsidR="009B7C59" w:rsidRDefault="009B7C59" w:rsidP="00515E2C">
      <w:pPr>
        <w:spacing w:after="0" w:line="240" w:lineRule="auto"/>
        <w:jc w:val="both"/>
      </w:pPr>
    </w:p>
    <w:p w:rsidR="009B7C59" w:rsidRDefault="009B7C59" w:rsidP="00515E2C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Jan Burglin</w:t>
      </w:r>
    </w:p>
    <w:p w:rsidR="008C3F65" w:rsidRDefault="008C3F65"/>
    <w:sectPr w:rsidR="008C3F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0C9"/>
    <w:rsid w:val="00017A90"/>
    <w:rsid w:val="001850C9"/>
    <w:rsid w:val="00515E2C"/>
    <w:rsid w:val="005A0D5F"/>
    <w:rsid w:val="006763BC"/>
    <w:rsid w:val="008C3F65"/>
    <w:rsid w:val="009B7C59"/>
    <w:rsid w:val="00A611B8"/>
    <w:rsid w:val="00BA5187"/>
    <w:rsid w:val="00D45DA5"/>
    <w:rsid w:val="00F50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D5638E-F183-4EC5-A282-4B9FF4F0B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B7C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339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</dc:creator>
  <cp:keywords/>
  <dc:description/>
  <cp:lastModifiedBy>Wojtek Chruściel</cp:lastModifiedBy>
  <cp:revision>3</cp:revision>
  <dcterms:created xsi:type="dcterms:W3CDTF">2022-03-18T05:01:00Z</dcterms:created>
  <dcterms:modified xsi:type="dcterms:W3CDTF">2022-03-18T13:45:00Z</dcterms:modified>
</cp:coreProperties>
</file>